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7" w:type="dxa"/>
        <w:jc w:val="center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773117" w:rsidRPr="00773117" w:rsidTr="00773117">
        <w:trPr>
          <w:trHeight w:val="3062"/>
          <w:jc w:val="center"/>
        </w:trPr>
        <w:tc>
          <w:tcPr>
            <w:tcW w:w="9367" w:type="dxa"/>
            <w:vAlign w:val="bottom"/>
            <w:hideMark/>
          </w:tcPr>
          <w:p w:rsidR="00773117" w:rsidRPr="00773117" w:rsidRDefault="00773117" w:rsidP="00773117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96"/>
                <w:szCs w:val="24"/>
              </w:rPr>
            </w:pPr>
            <w:r w:rsidRPr="00773117">
              <w:rPr>
                <w:rFonts w:ascii="Times New Roman" w:eastAsia="宋体" w:hAnsi="Times New Roman" w:cs="Times New Roman" w:hint="eastAsia"/>
                <w:b/>
                <w:color w:val="FF0000"/>
                <w:spacing w:val="144"/>
                <w:kern w:val="0"/>
                <w:sz w:val="96"/>
                <w:szCs w:val="24"/>
                <w:fitText w:val="7350" w:id="635566592"/>
              </w:rPr>
              <w:t>三峡大学文</w:t>
            </w:r>
            <w:r w:rsidRPr="00773117">
              <w:rPr>
                <w:rFonts w:ascii="Times New Roman" w:eastAsia="宋体" w:hAnsi="Times New Roman" w:cs="Times New Roman" w:hint="eastAsia"/>
                <w:b/>
                <w:color w:val="FF0000"/>
                <w:spacing w:val="36"/>
                <w:kern w:val="0"/>
                <w:sz w:val="96"/>
                <w:szCs w:val="24"/>
                <w:fitText w:val="7350" w:id="635566592"/>
              </w:rPr>
              <w:t>件</w:t>
            </w:r>
          </w:p>
        </w:tc>
      </w:tr>
      <w:tr w:rsidR="00773117" w:rsidRPr="00773117" w:rsidTr="00773117">
        <w:trPr>
          <w:trHeight w:val="1531"/>
          <w:jc w:val="center"/>
        </w:trPr>
        <w:tc>
          <w:tcPr>
            <w:tcW w:w="9367" w:type="dxa"/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32"/>
                <w:szCs w:val="32"/>
              </w:rPr>
            </w:pPr>
            <w:r w:rsidRPr="0077311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三峡大教〔</w:t>
            </w:r>
            <w:r w:rsidRPr="00773117">
              <w:rPr>
                <w:rFonts w:ascii="Times New Roman" w:eastAsia="仿宋_GB2312" w:hAnsi="Times New Roman" w:cs="Times New Roman"/>
                <w:sz w:val="32"/>
                <w:szCs w:val="32"/>
              </w:rPr>
              <w:t>2014</w:t>
            </w:r>
            <w:r w:rsidRPr="0077311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〕</w:t>
            </w:r>
            <w:r w:rsidRPr="00773117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  <w:r w:rsidRPr="00773117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号</w:t>
            </w:r>
          </w:p>
        </w:tc>
      </w:tr>
      <w:tr w:rsidR="00773117" w:rsidRPr="00773117" w:rsidTr="00773117">
        <w:trPr>
          <w:trHeight w:val="113"/>
          <w:jc w:val="center"/>
        </w:trPr>
        <w:tc>
          <w:tcPr>
            <w:tcW w:w="9367" w:type="dxa"/>
            <w:hideMark/>
          </w:tcPr>
          <w:p w:rsidR="00773117" w:rsidRPr="00773117" w:rsidRDefault="00773117" w:rsidP="00773117">
            <w:pPr>
              <w:ind w:leftChars="-47" w:left="-99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0"/>
                <w:szCs w:val="24"/>
              </w:rPr>
            </w:pPr>
            <w:r w:rsidRPr="00773117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FF308" wp14:editId="5C0B5D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5947410" cy="43180"/>
                      <wp:effectExtent l="635" t="0" r="0" b="4445"/>
                      <wp:wrapTopAndBottom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7410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05pt;margin-top:0;width:468.3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" fillcolor="red" stroked="f">
                      <w10:wrap type="topAndBottom"/>
                    </v:rect>
                  </w:pict>
                </mc:Fallback>
              </mc:AlternateContent>
            </w:r>
          </w:p>
        </w:tc>
      </w:tr>
    </w:tbl>
    <w:p w:rsidR="00773117" w:rsidRPr="00773117" w:rsidRDefault="00773117" w:rsidP="00773117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773117" w:rsidRPr="00773117" w:rsidRDefault="00773117" w:rsidP="00773117">
      <w:pPr>
        <w:snapToGrid w:val="0"/>
        <w:spacing w:line="560" w:lineRule="exact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关于</w:t>
      </w:r>
      <w:proofErr w:type="gramStart"/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《</w:t>
      </w:r>
      <w:proofErr w:type="gramEnd"/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三峡大学大学生素质拓展课程</w:t>
      </w:r>
    </w:p>
    <w:p w:rsidR="00773117" w:rsidRPr="00773117" w:rsidRDefault="00773117" w:rsidP="00773117">
      <w:pPr>
        <w:snapToGrid w:val="0"/>
        <w:spacing w:line="560" w:lineRule="exact"/>
        <w:jc w:val="center"/>
        <w:rPr>
          <w:rFonts w:ascii="方正小标宋简体" w:eastAsia="方正小标宋简体" w:hAnsi="宋体" w:cs="Times New Roman" w:hint="eastAsia"/>
          <w:b/>
          <w:sz w:val="44"/>
          <w:szCs w:val="44"/>
        </w:rPr>
      </w:pPr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学分置换实施方案</w:t>
      </w:r>
      <w:proofErr w:type="gramStart"/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》</w:t>
      </w:r>
      <w:proofErr w:type="gramEnd"/>
      <w:r w:rsidRPr="00773117">
        <w:rPr>
          <w:rFonts w:ascii="方正小标宋简体" w:eastAsia="方正小标宋简体" w:hAnsi="宋体" w:cs="Times New Roman" w:hint="eastAsia"/>
          <w:b/>
          <w:sz w:val="44"/>
          <w:szCs w:val="44"/>
        </w:rPr>
        <w:t>的补充通知</w:t>
      </w:r>
    </w:p>
    <w:p w:rsidR="00773117" w:rsidRPr="00773117" w:rsidRDefault="00773117" w:rsidP="00773117">
      <w:pPr>
        <w:snapToGrid w:val="0"/>
        <w:spacing w:line="560" w:lineRule="exact"/>
        <w:jc w:val="center"/>
        <w:rPr>
          <w:rFonts w:ascii="宋体" w:eastAsia="宋体" w:hAnsi="宋体" w:cs="Times New Roman" w:hint="eastAsia"/>
          <w:sz w:val="32"/>
          <w:szCs w:val="32"/>
        </w:rPr>
      </w:pPr>
    </w:p>
    <w:p w:rsidR="00773117" w:rsidRPr="00773117" w:rsidRDefault="00773117" w:rsidP="00773117">
      <w:pPr>
        <w:snapToGrid w:val="0"/>
        <w:spacing w:line="560" w:lineRule="exact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bCs/>
          <w:sz w:val="32"/>
          <w:szCs w:val="32"/>
        </w:rPr>
        <w:t>校属各单位：</w:t>
      </w:r>
    </w:p>
    <w:p w:rsidR="00773117" w:rsidRPr="00773117" w:rsidRDefault="00773117" w:rsidP="00773117">
      <w:pPr>
        <w:snapToGrid w:val="0"/>
        <w:spacing w:line="560" w:lineRule="exact"/>
        <w:ind w:left="1" w:firstLineChars="205" w:firstLine="656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为更好地推进我校学生素质拓展课程学分置换工作，现就《三峡大学大学生素质拓展课程学分置换实施方案》（三峡大教〔2013〕22号）作如下补充：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1.根据《三峡大学关于修订2013版本科人才培养方案的指导性意见》（三峡大教〔2013〕3号），结合我校具备的职业资格项目资质，现将部分职业资格证书纳入素质拓展课程学分置换范围。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2.获得国家职业资格证书的在校大学生，可凭合格证书置换“职业资格与技能培训类”对应学分。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Pr="00773117">
        <w:rPr>
          <w:rFonts w:ascii="仿宋_GB2312" w:eastAsia="仿宋_GB2312" w:hAnsi="宋体" w:cs="Times New Roman" w:hint="eastAsia"/>
          <w:bCs/>
          <w:sz w:val="32"/>
          <w:szCs w:val="32"/>
        </w:rPr>
        <w:t>补充纳入“</w:t>
      </w:r>
      <w:r w:rsidRPr="00773117">
        <w:rPr>
          <w:rFonts w:ascii="仿宋_GB2312" w:eastAsia="仿宋_GB2312" w:hAnsi="宋体" w:cs="Times New Roman" w:hint="eastAsia"/>
          <w:sz w:val="32"/>
          <w:szCs w:val="32"/>
        </w:rPr>
        <w:t>职业资格与技能培训类”的</w:t>
      </w:r>
      <w:r w:rsidRPr="00773117">
        <w:rPr>
          <w:rFonts w:ascii="仿宋_GB2312" w:eastAsia="仿宋_GB2312" w:hAnsi="宋体" w:cs="Times New Roman" w:hint="eastAsia"/>
          <w:bCs/>
          <w:sz w:val="32"/>
          <w:szCs w:val="32"/>
        </w:rPr>
        <w:t>素质拓展课程校级学分置换标准见附件1。该置换标准为试行。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4.学院在自行制定院级学分置换标准时,可根据需要将附件2中职业资格项目纳入置换内容，并确定相应的置换学分。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bCs/>
          <w:sz w:val="32"/>
          <w:szCs w:val="32"/>
        </w:rPr>
      </w:pPr>
    </w:p>
    <w:p w:rsidR="00773117" w:rsidRPr="00773117" w:rsidRDefault="00773117" w:rsidP="00773117">
      <w:pPr>
        <w:snapToGrid w:val="0"/>
        <w:spacing w:line="560" w:lineRule="exact"/>
        <w:ind w:leftChars="304" w:left="1758" w:hangingChars="350" w:hanging="1120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附件：1.三峡大学大学生素质拓展课程校级学分置换标准（补充）</w:t>
      </w:r>
    </w:p>
    <w:p w:rsidR="00773117" w:rsidRPr="00773117" w:rsidRDefault="00773117" w:rsidP="00773117">
      <w:pPr>
        <w:snapToGrid w:val="0"/>
        <w:spacing w:line="560" w:lineRule="exact"/>
        <w:ind w:leftChars="760" w:left="1916" w:hangingChars="100" w:hanging="320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>2.院级可纳入素质拓展课程学分置换的职业资格项目参考目录</w:t>
      </w: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773117" w:rsidRPr="00773117" w:rsidRDefault="00773117" w:rsidP="00773117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</w:p>
    <w:p w:rsidR="00773117" w:rsidRPr="00773117" w:rsidRDefault="00773117" w:rsidP="00773117">
      <w:pPr>
        <w:snapToGrid w:val="0"/>
        <w:spacing w:line="360" w:lineRule="auto"/>
        <w:ind w:firstLine="435"/>
        <w:jc w:val="center"/>
        <w:rPr>
          <w:rFonts w:ascii="仿宋_GB2312" w:eastAsia="仿宋_GB2312" w:hAnsi="宋体" w:cs="Times New Roman" w:hint="eastAsia"/>
          <w:sz w:val="32"/>
          <w:szCs w:val="32"/>
        </w:rPr>
      </w:pPr>
      <w:r w:rsidRPr="00773117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三峡大学</w:t>
      </w:r>
    </w:p>
    <w:p w:rsidR="00773117" w:rsidRPr="00773117" w:rsidRDefault="00773117" w:rsidP="00773117">
      <w:pPr>
        <w:snapToGrid w:val="0"/>
        <w:spacing w:line="360" w:lineRule="auto"/>
        <w:ind w:right="560" w:firstLine="435"/>
        <w:jc w:val="right"/>
        <w:rPr>
          <w:rFonts w:ascii="仿宋_GB2312" w:eastAsia="仿宋_GB2312" w:hAnsi="宋体" w:cs="Times New Roman" w:hint="eastAsia"/>
          <w:sz w:val="32"/>
          <w:szCs w:val="32"/>
        </w:rPr>
      </w:pPr>
      <w:smartTag w:uri="urn:schemas-microsoft-com:office:smarttags" w:element="chsdate">
        <w:smartTagPr>
          <w:attr w:name="Year" w:val="2014"/>
          <w:attr w:name="Month" w:val="5"/>
          <w:attr w:name="Day" w:val="23"/>
          <w:attr w:name="IsLunarDate" w:val="False"/>
          <w:attr w:name="IsROCDate" w:val="False"/>
        </w:smartTagPr>
        <w:r w:rsidRPr="00773117">
          <w:rPr>
            <w:rFonts w:ascii="仿宋_GB2312" w:eastAsia="仿宋_GB2312" w:hAnsi="宋体" w:cs="Times New Roman" w:hint="eastAsia"/>
            <w:sz w:val="32"/>
            <w:szCs w:val="32"/>
          </w:rPr>
          <w:t>2014年5月23日</w:t>
        </w:r>
      </w:smartTag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/>
          <w:b/>
          <w:bCs/>
          <w:sz w:val="36"/>
          <w:szCs w:val="27"/>
        </w:rPr>
      </w:pPr>
    </w:p>
    <w:p w:rsid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 w:hint="eastAsia"/>
          <w:b/>
          <w:bCs/>
          <w:sz w:val="36"/>
          <w:szCs w:val="27"/>
        </w:rPr>
      </w:pPr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/>
          <w:b/>
          <w:bCs/>
          <w:sz w:val="36"/>
          <w:szCs w:val="27"/>
        </w:rPr>
      </w:pPr>
      <w:bookmarkStart w:id="0" w:name="_GoBack"/>
      <w:bookmarkEnd w:id="0"/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/>
          <w:b/>
          <w:bCs/>
          <w:sz w:val="36"/>
          <w:szCs w:val="27"/>
        </w:rPr>
      </w:pPr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/>
          <w:b/>
          <w:bCs/>
          <w:sz w:val="36"/>
          <w:szCs w:val="27"/>
        </w:rPr>
      </w:pPr>
    </w:p>
    <w:p w:rsidR="00773117" w:rsidRPr="00773117" w:rsidRDefault="00773117" w:rsidP="00773117">
      <w:pPr>
        <w:snapToGrid w:val="0"/>
        <w:spacing w:line="480" w:lineRule="exact"/>
        <w:rPr>
          <w:rFonts w:ascii="Times New Roman" w:eastAsia="宋体" w:hAnsi="Times New Roman" w:cs="Times New Roman"/>
          <w:b/>
          <w:bCs/>
          <w:sz w:val="36"/>
          <w:szCs w:val="27"/>
        </w:rPr>
      </w:pPr>
    </w:p>
    <w:p w:rsidR="00773117" w:rsidRPr="00773117" w:rsidRDefault="00773117" w:rsidP="00773117">
      <w:pPr>
        <w:snapToGrid w:val="0"/>
        <w:spacing w:line="578" w:lineRule="exact"/>
        <w:ind w:firstLineChars="166" w:firstLine="349"/>
        <w:rPr>
          <w:rFonts w:ascii="仿宋_GB2312" w:eastAsia="仿宋_GB2312" w:hAnsi="Times New Roman" w:cs="Times New Roman"/>
          <w:spacing w:val="6"/>
          <w:sz w:val="32"/>
          <w:szCs w:val="24"/>
        </w:rPr>
      </w:pPr>
      <w:r w:rsidRPr="0077311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FD82" wp14:editId="14FA281D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6007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4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"/>
            </w:pict>
          </mc:Fallback>
        </mc:AlternateContent>
      </w:r>
      <w:r w:rsidRPr="00773117">
        <w:rPr>
          <w:rFonts w:ascii="仿宋_GB2312" w:eastAsia="仿宋_GB2312" w:hAnsi="Times New Roman" w:cs="Times New Roman" w:hint="eastAsia"/>
          <w:spacing w:val="6"/>
          <w:sz w:val="32"/>
          <w:szCs w:val="24"/>
        </w:rPr>
        <w:t xml:space="preserve">三峡大学校长办公室          </w:t>
      </w:r>
      <w:smartTag w:uri="urn:schemas-microsoft-com:office:smarttags" w:element="chsdate">
        <w:smartTagPr>
          <w:attr w:name="Year" w:val="2014"/>
          <w:attr w:name="Month" w:val="5"/>
          <w:attr w:name="Day" w:val="23"/>
          <w:attr w:name="IsLunarDate" w:val="False"/>
          <w:attr w:name="IsROCDate" w:val="False"/>
        </w:smartTagPr>
        <w:r w:rsidRPr="00773117">
          <w:rPr>
            <w:rFonts w:ascii="仿宋_GB2312" w:eastAsia="仿宋_GB2312" w:hAnsi="Times New Roman" w:cs="Times New Roman" w:hint="eastAsia"/>
            <w:spacing w:val="6"/>
            <w:sz w:val="32"/>
            <w:szCs w:val="24"/>
          </w:rPr>
          <w:t>2014年5月23日</w:t>
        </w:r>
      </w:smartTag>
      <w:r w:rsidRPr="00773117">
        <w:rPr>
          <w:rFonts w:ascii="仿宋_GB2312" w:eastAsia="仿宋_GB2312" w:hAnsi="Times New Roman" w:cs="Times New Roman" w:hint="eastAsia"/>
          <w:spacing w:val="6"/>
          <w:sz w:val="32"/>
          <w:szCs w:val="24"/>
        </w:rPr>
        <w:t>印发</w:t>
      </w:r>
    </w:p>
    <w:p w:rsidR="00773117" w:rsidRPr="00773117" w:rsidRDefault="00773117" w:rsidP="00773117">
      <w:pPr>
        <w:snapToGrid w:val="0"/>
        <w:spacing w:line="578" w:lineRule="exact"/>
        <w:ind w:firstLineChars="100" w:firstLine="210"/>
        <w:rPr>
          <w:rFonts w:ascii="仿宋_GB2312" w:eastAsia="仿宋_GB2312" w:hAnsi="Times New Roman" w:cs="Times New Roman" w:hint="eastAsia"/>
          <w:spacing w:val="6"/>
          <w:sz w:val="32"/>
          <w:szCs w:val="24"/>
        </w:rPr>
      </w:pPr>
      <w:r w:rsidRPr="00773117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9A341" wp14:editId="6D38EE8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AhCiSf&#10;2QAAAAQBAAAPAAAAAAAAAAAAAAAAAGwEAABkcnMvZG93bnJldi54bWxQSwUGAAAAAAQABADzAAAA&#10;cgUAAAAA&#10;"/>
            </w:pict>
          </mc:Fallback>
        </mc:AlternateContent>
      </w:r>
      <w:r w:rsidRPr="00773117">
        <w:rPr>
          <w:rFonts w:ascii="仿宋_GB2312" w:eastAsia="仿宋_GB2312" w:hAnsi="Times New Roman" w:cs="Times New Roman" w:hint="eastAsia"/>
          <w:spacing w:val="6"/>
          <w:sz w:val="32"/>
          <w:szCs w:val="24"/>
        </w:rPr>
        <w:t xml:space="preserve">                                    共印5份</w:t>
      </w:r>
    </w:p>
    <w:p w:rsidR="00773117" w:rsidRPr="00773117" w:rsidRDefault="00773117" w:rsidP="00773117">
      <w:pPr>
        <w:snapToGrid w:val="0"/>
        <w:spacing w:line="578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7311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附件1：</w:t>
      </w:r>
    </w:p>
    <w:p w:rsidR="00773117" w:rsidRPr="00773117" w:rsidRDefault="00773117" w:rsidP="00773117">
      <w:pPr>
        <w:snapToGrid w:val="0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773117">
        <w:rPr>
          <w:rFonts w:ascii="宋体" w:eastAsia="宋体" w:hAnsi="宋体" w:cs="Times New Roman" w:hint="eastAsia"/>
          <w:b/>
          <w:sz w:val="28"/>
          <w:szCs w:val="28"/>
        </w:rPr>
        <w:t>三峡大学大学生素质拓展课程校级学分置换标准（补充）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7"/>
        <w:gridCol w:w="2598"/>
        <w:gridCol w:w="696"/>
        <w:gridCol w:w="2598"/>
        <w:gridCol w:w="840"/>
      </w:tblGrid>
      <w:tr w:rsidR="00773117" w:rsidRPr="00773117" w:rsidTr="00773117">
        <w:trPr>
          <w:trHeight w:val="44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编号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学分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773117" w:rsidRPr="00773117" w:rsidTr="00773117">
        <w:trPr>
          <w:trHeight w:val="85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职业资格与技能培训类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3.7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全国公共英语等级证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提供考试合格证书，三级置换2分，四级置换3分，五级置换4分。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szCs w:val="21"/>
              </w:rPr>
              <w:t>/</w:t>
            </w:r>
          </w:p>
        </w:tc>
      </w:tr>
      <w:tr w:rsidR="00773117" w:rsidRPr="00773117" w:rsidTr="00773117">
        <w:trPr>
          <w:trHeight w:val="8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3.8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全国计算机技术与软件专业技术资格（水平）证书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2-5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提供考试合格证书，初级置换2分，中级置换3分，高级置换5分。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3117" w:rsidRPr="00773117" w:rsidTr="00773117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3.9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教师资格证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2-3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提供考试合格证书，高中教师资格证置换3分，其他置换2分。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3117" w:rsidRPr="00773117" w:rsidTr="00773117">
        <w:trPr>
          <w:trHeight w:val="1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4.0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国家职业技能鉴定项目证书：</w:t>
            </w:r>
          </w:p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人力资源管理师资格证、心理咨询师资格证、公共营养师资格证、摄影师资格证、秘书资格证、计算机高新技术职业资格证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2-4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773117">
              <w:rPr>
                <w:rFonts w:ascii="宋体" w:eastAsia="宋体" w:hAnsi="宋体" w:cs="Times New Roman" w:hint="eastAsia"/>
                <w:bCs/>
                <w:szCs w:val="21"/>
              </w:rPr>
              <w:t>提供考试合格证书，初级置换2分，中级置换3分，高级置换4分。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73117" w:rsidRPr="00773117" w:rsidRDefault="00773117" w:rsidP="00773117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773117" w:rsidRPr="00773117" w:rsidRDefault="00773117" w:rsidP="00773117">
      <w:pPr>
        <w:snapToGrid w:val="0"/>
        <w:spacing w:line="578" w:lineRule="exact"/>
        <w:rPr>
          <w:rFonts w:ascii="仿宋_GB2312" w:eastAsia="仿宋_GB2312" w:hAnsi="Times New Roman" w:cs="Times New Roman"/>
          <w:sz w:val="32"/>
          <w:szCs w:val="32"/>
        </w:rPr>
      </w:pPr>
      <w:r w:rsidRPr="00773117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  <w:r w:rsidRPr="0077311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 ：</w:t>
      </w:r>
    </w:p>
    <w:p w:rsidR="00773117" w:rsidRPr="00773117" w:rsidRDefault="00773117" w:rsidP="00773117">
      <w:pPr>
        <w:snapToGrid w:val="0"/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773117">
        <w:rPr>
          <w:rFonts w:ascii="宋体" w:eastAsia="宋体" w:hAnsi="宋体" w:cs="Times New Roman" w:hint="eastAsia"/>
          <w:b/>
          <w:sz w:val="28"/>
          <w:szCs w:val="28"/>
        </w:rPr>
        <w:t>院级可纳入素质拓展课程学分置换的职业资格项目参考目录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88"/>
      </w:tblGrid>
      <w:tr w:rsidR="00773117" w:rsidRPr="00773117" w:rsidTr="00773117">
        <w:trPr>
          <w:trHeight w:val="4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对接考试项目</w:t>
            </w:r>
          </w:p>
        </w:tc>
      </w:tr>
      <w:tr w:rsidR="00773117" w:rsidRPr="00773117" w:rsidTr="00773117">
        <w:trPr>
          <w:trHeight w:val="4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水利与环境学院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计算机辅助设计资格证、工程测量员资格证、项目管理师资格证、六大员（施工员、资料员、预算员、材料员、质检员、安全员）资格证、监理工程师资格证</w:t>
            </w:r>
          </w:p>
        </w:tc>
      </w:tr>
      <w:tr w:rsidR="00773117" w:rsidRPr="00773117" w:rsidTr="00773117">
        <w:trPr>
          <w:trHeight w:val="4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土木与建筑学院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73117" w:rsidRPr="00773117" w:rsidTr="00773117">
        <w:trPr>
          <w:trHeight w:val="4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机械与动力学院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数控车工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、数控铣工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、加工中心操作工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、数控程序员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、车工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、铣工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、焊工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、电切削工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、装配钳工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、工具钳工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、维修电工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数控仿真资格证、计算机辅助设计资格证、数控程序员资格证</w:t>
            </w:r>
          </w:p>
        </w:tc>
      </w:tr>
      <w:tr w:rsidR="00773117" w:rsidRPr="00773117" w:rsidTr="00773117">
        <w:trPr>
          <w:trHeight w:val="4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材料与化工学院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73117" w:rsidRPr="00773117" w:rsidTr="00773117">
        <w:trPr>
          <w:trHeight w:val="9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电气与新能源学院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计算机辅助设计资格证、可编程序控制系统设计师资格证、工程测量员资格证、电气</w:t>
            </w:r>
            <w:proofErr w:type="gramStart"/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试验员</w:t>
            </w:r>
            <w:proofErr w:type="gramEnd"/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资格证、继电保护员资格证、电力负荷控制员资格证、电网调度自动化运行值班员资格证、电力调度员资格证、电网调度自动化维护员资格证</w:t>
            </w:r>
          </w:p>
        </w:tc>
      </w:tr>
      <w:tr w:rsidR="00773117" w:rsidRPr="00773117" w:rsidTr="00773117">
        <w:trPr>
          <w:trHeight w:val="6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商务策划师资格证、报关员资格证、会计资格证、会计软件应用资格证、营销师资格证、电子商务师资格证、物流师资格证、酒店管理师资格证</w:t>
            </w:r>
          </w:p>
        </w:tc>
      </w:tr>
      <w:tr w:rsidR="00773117" w:rsidRPr="00773117" w:rsidTr="00773117">
        <w:trPr>
          <w:trHeight w:val="4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17" w:rsidRPr="00773117" w:rsidRDefault="00773117" w:rsidP="0077311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景观设计师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、广告设计师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  <w:r w:rsidRPr="00773117">
              <w:rPr>
                <w:rFonts w:ascii="宋体" w:eastAsia="宋体" w:hAnsi="宋体" w:cs="宋体" w:hint="eastAsia"/>
                <w:kern w:val="0"/>
                <w:szCs w:val="21"/>
              </w:rPr>
              <w:t>、室内装饰设计员</w:t>
            </w:r>
            <w:r w:rsidRPr="007731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资格证</w:t>
            </w:r>
          </w:p>
        </w:tc>
      </w:tr>
    </w:tbl>
    <w:p w:rsidR="00773117" w:rsidRPr="00773117" w:rsidRDefault="00773117" w:rsidP="00773117">
      <w:pPr>
        <w:snapToGrid w:val="0"/>
        <w:ind w:leftChars="-257" w:left="-540" w:firstLineChars="171" w:firstLine="359"/>
        <w:rPr>
          <w:rFonts w:ascii="宋体" w:eastAsia="宋体" w:hAnsi="宋体" w:cs="Times New Roman" w:hint="eastAsia"/>
          <w:szCs w:val="21"/>
        </w:rPr>
      </w:pPr>
    </w:p>
    <w:p w:rsidR="00773117" w:rsidRPr="00773117" w:rsidRDefault="00773117" w:rsidP="00773117">
      <w:pPr>
        <w:snapToGrid w:val="0"/>
        <w:ind w:leftChars="-257" w:left="-540" w:firstLineChars="171" w:firstLine="359"/>
        <w:rPr>
          <w:rFonts w:ascii="Times New Roman" w:eastAsia="宋体" w:hAnsi="Times New Roman" w:cs="Times New Roman" w:hint="eastAsia"/>
          <w:szCs w:val="24"/>
        </w:rPr>
      </w:pPr>
      <w:r w:rsidRPr="00773117">
        <w:rPr>
          <w:rFonts w:ascii="宋体" w:eastAsia="宋体" w:hAnsi="宋体" w:cs="Times New Roman" w:hint="eastAsia"/>
          <w:szCs w:val="21"/>
        </w:rPr>
        <w:t>注：三峡大学国家职业技能鉴定所具备以上资格证书考试及培训资质，鉴定所挂靠三峡大学继续教育学院。</w:t>
      </w:r>
    </w:p>
    <w:p w:rsidR="00773117" w:rsidRPr="00773117" w:rsidRDefault="00773117" w:rsidP="00773117">
      <w:pPr>
        <w:snapToGrid w:val="0"/>
        <w:spacing w:line="578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06CF6" w:rsidRPr="00773117" w:rsidRDefault="00906CF6">
      <w:pPr>
        <w:rPr>
          <w:rFonts w:hint="eastAsia"/>
        </w:rPr>
      </w:pPr>
    </w:p>
    <w:sectPr w:rsidR="00906CF6" w:rsidRPr="00773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7"/>
    <w:rsid w:val="00773117"/>
    <w:rsid w:val="009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LZQ</cp:lastModifiedBy>
  <cp:revision>1</cp:revision>
  <dcterms:created xsi:type="dcterms:W3CDTF">2014-05-27T23:58:00Z</dcterms:created>
  <dcterms:modified xsi:type="dcterms:W3CDTF">2014-05-28T00:01:00Z</dcterms:modified>
</cp:coreProperties>
</file>