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kern w:val="0"/>
          <w:sz w:val="24"/>
        </w:rPr>
      </w:pPr>
      <w:bookmarkStart w:id="0" w:name="_GoBack"/>
      <w:bookmarkEnd w:id="0"/>
      <w:r>
        <w:rPr>
          <w:rFonts w:hint="eastAsia" w:ascii="仿宋" w:hAnsi="仿宋" w:eastAsia="仿宋" w:cs="宋体"/>
          <w:b/>
          <w:bCs/>
          <w:kern w:val="0"/>
          <w:sz w:val="36"/>
          <w:szCs w:val="36"/>
        </w:rPr>
        <w:t>三峡大学2016年度处级领导班子履职尽责工作项目完成情况统计表</w:t>
      </w:r>
    </w:p>
    <w:p>
      <w:pPr>
        <w:widowControl/>
        <w:rPr>
          <w:rFonts w:ascii="宋体" w:hAnsi="宋体" w:cs="宋体"/>
          <w:kern w:val="0"/>
          <w:sz w:val="24"/>
        </w:rPr>
      </w:pPr>
      <w:r>
        <w:rPr>
          <w:rFonts w:hint="eastAsia" w:ascii="仿宋" w:hAnsi="仿宋" w:eastAsia="仿宋" w:cs="宋体"/>
          <w:b/>
          <w:bCs/>
          <w:kern w:val="0"/>
          <w:sz w:val="30"/>
          <w:szCs w:val="30"/>
        </w:rPr>
        <w:t>单位（盖章）：水利与环境学院</w:t>
      </w:r>
    </w:p>
    <w:tbl>
      <w:tblPr>
        <w:tblStyle w:val="8"/>
        <w:tblW w:w="14058" w:type="dxa"/>
        <w:tblInd w:w="-10" w:type="dxa"/>
        <w:tblLayout w:type="fixed"/>
        <w:tblCellMar>
          <w:top w:w="0" w:type="dxa"/>
          <w:left w:w="0" w:type="dxa"/>
          <w:bottom w:w="0" w:type="dxa"/>
          <w:right w:w="0" w:type="dxa"/>
        </w:tblCellMar>
      </w:tblPr>
      <w:tblGrid>
        <w:gridCol w:w="730"/>
        <w:gridCol w:w="2023"/>
        <w:gridCol w:w="816"/>
        <w:gridCol w:w="4531"/>
        <w:gridCol w:w="1276"/>
        <w:gridCol w:w="2874"/>
        <w:gridCol w:w="1808"/>
      </w:tblGrid>
      <w:tr>
        <w:tblPrEx>
          <w:tblLayout w:type="fixed"/>
          <w:tblCellMar>
            <w:top w:w="0" w:type="dxa"/>
            <w:left w:w="0" w:type="dxa"/>
            <w:bottom w:w="0" w:type="dxa"/>
            <w:right w:w="0" w:type="dxa"/>
          </w:tblCellMar>
        </w:tblPrEx>
        <w:trPr>
          <w:trHeight w:val="334" w:hRule="atLeast"/>
        </w:trPr>
        <w:tc>
          <w:tcPr>
            <w:tcW w:w="730" w:type="dxa"/>
            <w:vMerge w:val="restart"/>
            <w:tcBorders>
              <w:top w:val="single" w:color="000000" w:sz="8" w:space="0"/>
              <w:left w:val="single" w:color="000000" w:sz="8" w:space="0"/>
              <w:bottom w:val="single" w:color="000000" w:sz="6" w:space="0"/>
              <w:right w:val="single" w:color="000000" w:sz="6" w:space="0"/>
            </w:tcBorders>
            <w:tcMar>
              <w:right w:w="101" w:type="dxa"/>
            </w:tcMar>
            <w:vAlign w:val="center"/>
          </w:tcPr>
          <w:p>
            <w:pPr>
              <w:widowControl/>
              <w:spacing w:line="480" w:lineRule="atLeast"/>
              <w:jc w:val="center"/>
              <w:rPr>
                <w:rFonts w:ascii="宋体" w:hAnsi="宋体" w:cs="宋体"/>
                <w:kern w:val="0"/>
                <w:sz w:val="28"/>
                <w:szCs w:val="28"/>
              </w:rPr>
            </w:pPr>
            <w:r>
              <w:rPr>
                <w:rFonts w:hint="eastAsia" w:ascii="仿宋" w:hAnsi="仿宋" w:eastAsia="仿宋" w:cs="宋体"/>
                <w:b/>
                <w:bCs/>
                <w:kern w:val="0"/>
                <w:sz w:val="28"/>
                <w:szCs w:val="28"/>
              </w:rPr>
              <w:t>项目类别</w:t>
            </w:r>
          </w:p>
        </w:tc>
        <w:tc>
          <w:tcPr>
            <w:tcW w:w="2023" w:type="dxa"/>
            <w:vMerge w:val="restart"/>
            <w:tcBorders>
              <w:top w:val="single" w:color="000000" w:sz="8" w:space="0"/>
              <w:left w:val="single" w:color="000000" w:sz="6" w:space="0"/>
              <w:bottom w:val="single" w:color="000000" w:sz="6" w:space="0"/>
              <w:right w:val="single" w:color="000000" w:sz="6" w:space="0"/>
            </w:tcBorders>
            <w:tcMar>
              <w:top w:w="0" w:type="dxa"/>
              <w:left w:w="101" w:type="dxa"/>
              <w:bottom w:w="0" w:type="dxa"/>
              <w:right w:w="101" w:type="dxa"/>
            </w:tcMar>
            <w:vAlign w:val="center"/>
          </w:tcPr>
          <w:p>
            <w:pPr>
              <w:widowControl/>
              <w:spacing w:line="480" w:lineRule="atLeast"/>
              <w:jc w:val="center"/>
              <w:rPr>
                <w:rFonts w:ascii="宋体" w:hAnsi="宋体" w:cs="宋体"/>
                <w:kern w:val="0"/>
                <w:sz w:val="28"/>
                <w:szCs w:val="28"/>
              </w:rPr>
            </w:pPr>
            <w:r>
              <w:rPr>
                <w:rFonts w:hint="eastAsia" w:ascii="仿宋" w:hAnsi="仿宋" w:eastAsia="仿宋" w:cs="宋体"/>
                <w:b/>
                <w:bCs/>
                <w:kern w:val="0"/>
                <w:sz w:val="28"/>
                <w:szCs w:val="28"/>
              </w:rPr>
              <w:t>项目名称</w:t>
            </w:r>
          </w:p>
        </w:tc>
        <w:tc>
          <w:tcPr>
            <w:tcW w:w="9497" w:type="dxa"/>
            <w:gridSpan w:val="4"/>
            <w:tcBorders>
              <w:top w:val="single" w:color="000000" w:sz="8" w:space="0"/>
              <w:left w:val="single" w:color="000000" w:sz="6" w:space="0"/>
              <w:bottom w:val="single" w:color="000000" w:sz="6" w:space="0"/>
              <w:right w:val="single" w:color="000000" w:sz="6" w:space="0"/>
            </w:tcBorders>
            <w:tcMar>
              <w:top w:w="0" w:type="dxa"/>
              <w:left w:w="98" w:type="dxa"/>
              <w:bottom w:w="0" w:type="dxa"/>
            </w:tcMar>
            <w:vAlign w:val="center"/>
          </w:tcPr>
          <w:p>
            <w:pPr>
              <w:widowControl/>
              <w:spacing w:line="480" w:lineRule="atLeast"/>
              <w:jc w:val="center"/>
              <w:rPr>
                <w:rFonts w:ascii="宋体" w:hAnsi="宋体" w:cs="宋体"/>
                <w:kern w:val="0"/>
                <w:sz w:val="28"/>
                <w:szCs w:val="28"/>
              </w:rPr>
            </w:pPr>
            <w:r>
              <w:rPr>
                <w:rFonts w:hint="eastAsia" w:ascii="仿宋" w:hAnsi="仿宋" w:eastAsia="仿宋" w:cs="宋体"/>
                <w:b/>
                <w:bCs/>
                <w:kern w:val="0"/>
                <w:sz w:val="28"/>
                <w:szCs w:val="28"/>
              </w:rPr>
              <w:t>工作项目完成情况</w:t>
            </w:r>
          </w:p>
        </w:tc>
        <w:tc>
          <w:tcPr>
            <w:tcW w:w="1808" w:type="dxa"/>
            <w:vMerge w:val="restart"/>
            <w:tcBorders>
              <w:top w:val="single" w:color="000000" w:sz="8" w:space="0"/>
              <w:left w:val="single" w:color="000000" w:sz="6" w:space="0"/>
              <w:bottom w:val="single" w:color="000000" w:sz="6" w:space="0"/>
              <w:right w:val="single" w:color="000000" w:sz="8" w:space="0"/>
            </w:tcBorders>
            <w:tcMar>
              <w:top w:w="0" w:type="dxa"/>
              <w:left w:w="101" w:type="dxa"/>
              <w:bottom w:w="0" w:type="dxa"/>
              <w:right w:w="98" w:type="dxa"/>
            </w:tcMar>
            <w:vAlign w:val="center"/>
          </w:tcPr>
          <w:p>
            <w:pPr>
              <w:widowControl/>
              <w:spacing w:line="480" w:lineRule="atLeast"/>
              <w:jc w:val="center"/>
              <w:rPr>
                <w:rFonts w:ascii="宋体" w:hAnsi="宋体" w:cs="宋体"/>
                <w:kern w:val="0"/>
                <w:sz w:val="28"/>
                <w:szCs w:val="28"/>
              </w:rPr>
            </w:pPr>
            <w:r>
              <w:rPr>
                <w:rFonts w:hint="eastAsia" w:ascii="宋体" w:hAnsi="宋体" w:cs="宋体"/>
                <w:kern w:val="0"/>
                <w:sz w:val="28"/>
                <w:szCs w:val="28"/>
              </w:rPr>
              <w:t>备注</w:t>
            </w:r>
          </w:p>
        </w:tc>
      </w:tr>
      <w:tr>
        <w:tblPrEx>
          <w:tblLayout w:type="fixed"/>
          <w:tblCellMar>
            <w:top w:w="0" w:type="dxa"/>
            <w:left w:w="0" w:type="dxa"/>
            <w:bottom w:w="0" w:type="dxa"/>
            <w:right w:w="0" w:type="dxa"/>
          </w:tblCellMar>
        </w:tblPrEx>
        <w:trPr>
          <w:trHeight w:val="216" w:hRule="atLeast"/>
        </w:trPr>
        <w:tc>
          <w:tcPr>
            <w:tcW w:w="730" w:type="dxa"/>
            <w:vMerge w:val="continue"/>
            <w:tcBorders>
              <w:top w:val="single" w:color="000000" w:sz="8" w:space="0"/>
              <w:left w:val="single" w:color="000000" w:sz="8" w:space="0"/>
              <w:bottom w:val="single" w:color="000000" w:sz="6" w:space="0"/>
              <w:right w:val="single" w:color="000000" w:sz="6" w:space="0"/>
            </w:tcBorders>
            <w:vAlign w:val="center"/>
          </w:tcPr>
          <w:p>
            <w:pPr>
              <w:widowControl/>
              <w:jc w:val="left"/>
              <w:rPr>
                <w:rFonts w:ascii="宋体" w:hAnsi="宋体" w:cs="宋体"/>
                <w:kern w:val="0"/>
                <w:sz w:val="28"/>
                <w:szCs w:val="28"/>
              </w:rPr>
            </w:pPr>
          </w:p>
        </w:tc>
        <w:tc>
          <w:tcPr>
            <w:tcW w:w="2023" w:type="dxa"/>
            <w:vMerge w:val="continue"/>
            <w:tcBorders>
              <w:top w:val="single" w:color="000000" w:sz="8" w:space="0"/>
              <w:left w:val="single" w:color="000000" w:sz="6" w:space="0"/>
              <w:bottom w:val="single" w:color="000000" w:sz="6" w:space="0"/>
              <w:right w:val="single" w:color="000000" w:sz="6" w:space="0"/>
            </w:tcBorders>
            <w:vAlign w:val="center"/>
          </w:tcPr>
          <w:p>
            <w:pPr>
              <w:widowControl/>
              <w:jc w:val="left"/>
              <w:rPr>
                <w:rFonts w:ascii="宋体" w:hAnsi="宋体" w:cs="宋体"/>
                <w:kern w:val="0"/>
                <w:sz w:val="28"/>
                <w:szCs w:val="28"/>
              </w:rPr>
            </w:pPr>
          </w:p>
        </w:tc>
        <w:tc>
          <w:tcPr>
            <w:tcW w:w="816"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vAlign w:val="center"/>
          </w:tcPr>
          <w:p>
            <w:pPr>
              <w:widowControl/>
              <w:spacing w:line="480" w:lineRule="atLeast"/>
              <w:jc w:val="center"/>
              <w:rPr>
                <w:rFonts w:ascii="宋体" w:hAnsi="宋体" w:cs="宋体"/>
                <w:kern w:val="0"/>
                <w:sz w:val="28"/>
                <w:szCs w:val="28"/>
              </w:rPr>
            </w:pPr>
            <w:r>
              <w:rPr>
                <w:rFonts w:hint="eastAsia" w:ascii="仿宋" w:hAnsi="仿宋" w:eastAsia="仿宋" w:cs="宋体"/>
                <w:b/>
                <w:bCs/>
                <w:kern w:val="0"/>
                <w:sz w:val="28"/>
                <w:szCs w:val="28"/>
              </w:rPr>
              <w:t>是否完成</w:t>
            </w:r>
          </w:p>
        </w:tc>
        <w:tc>
          <w:tcPr>
            <w:tcW w:w="4531"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vAlign w:val="center"/>
          </w:tcPr>
          <w:p>
            <w:pPr>
              <w:widowControl/>
              <w:spacing w:line="480" w:lineRule="atLeast"/>
              <w:jc w:val="center"/>
              <w:rPr>
                <w:rFonts w:ascii="宋体" w:hAnsi="宋体" w:cs="宋体"/>
                <w:kern w:val="0"/>
                <w:sz w:val="28"/>
                <w:szCs w:val="28"/>
              </w:rPr>
            </w:pPr>
            <w:r>
              <w:rPr>
                <w:rFonts w:hint="eastAsia" w:ascii="仿宋" w:hAnsi="仿宋" w:eastAsia="仿宋" w:cs="宋体"/>
                <w:b/>
                <w:bCs/>
                <w:kern w:val="0"/>
                <w:sz w:val="28"/>
                <w:szCs w:val="28"/>
              </w:rPr>
              <w:t>成效</w:t>
            </w:r>
          </w:p>
        </w:tc>
        <w:tc>
          <w:tcPr>
            <w:tcW w:w="1276"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vAlign w:val="center"/>
          </w:tcPr>
          <w:p>
            <w:pPr>
              <w:widowControl/>
              <w:spacing w:line="480" w:lineRule="atLeast"/>
              <w:jc w:val="center"/>
              <w:rPr>
                <w:rFonts w:ascii="宋体" w:hAnsi="宋体" w:cs="宋体"/>
                <w:kern w:val="0"/>
                <w:sz w:val="28"/>
                <w:szCs w:val="28"/>
              </w:rPr>
            </w:pPr>
            <w:r>
              <w:rPr>
                <w:rFonts w:hint="eastAsia" w:ascii="仿宋" w:hAnsi="仿宋" w:eastAsia="仿宋" w:cs="宋体"/>
                <w:b/>
                <w:bCs/>
                <w:kern w:val="0"/>
                <w:sz w:val="28"/>
                <w:szCs w:val="28"/>
              </w:rPr>
              <w:t>未完成内容</w:t>
            </w:r>
          </w:p>
        </w:tc>
        <w:tc>
          <w:tcPr>
            <w:tcW w:w="2874"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vAlign w:val="center"/>
          </w:tcPr>
          <w:p>
            <w:pPr>
              <w:widowControl/>
              <w:spacing w:line="480" w:lineRule="atLeast"/>
              <w:jc w:val="center"/>
              <w:rPr>
                <w:rFonts w:ascii="宋体" w:hAnsi="宋体" w:cs="宋体"/>
                <w:kern w:val="0"/>
                <w:sz w:val="28"/>
                <w:szCs w:val="28"/>
              </w:rPr>
            </w:pPr>
            <w:r>
              <w:rPr>
                <w:rFonts w:hint="eastAsia" w:ascii="仿宋" w:hAnsi="仿宋" w:eastAsia="仿宋" w:cs="宋体"/>
                <w:b/>
                <w:bCs/>
                <w:kern w:val="0"/>
                <w:sz w:val="28"/>
                <w:szCs w:val="28"/>
              </w:rPr>
              <w:t>存在的问题及原因</w:t>
            </w:r>
          </w:p>
        </w:tc>
        <w:tc>
          <w:tcPr>
            <w:tcW w:w="1808" w:type="dxa"/>
            <w:vMerge w:val="continue"/>
            <w:tcBorders>
              <w:top w:val="single" w:color="000000" w:sz="8" w:space="0"/>
              <w:left w:val="single" w:color="000000" w:sz="6" w:space="0"/>
              <w:bottom w:val="single" w:color="000000" w:sz="6" w:space="0"/>
              <w:right w:val="single" w:color="000000" w:sz="8" w:space="0"/>
            </w:tcBorders>
            <w:vAlign w:val="center"/>
          </w:tcPr>
          <w:p>
            <w:pPr>
              <w:widowControl/>
              <w:jc w:val="left"/>
              <w:rPr>
                <w:rFonts w:ascii="宋体" w:hAnsi="宋体" w:cs="宋体"/>
                <w:kern w:val="0"/>
                <w:sz w:val="28"/>
                <w:szCs w:val="28"/>
              </w:rPr>
            </w:pPr>
          </w:p>
        </w:tc>
      </w:tr>
      <w:tr>
        <w:tblPrEx>
          <w:tblLayout w:type="fixed"/>
          <w:tblCellMar>
            <w:top w:w="0" w:type="dxa"/>
            <w:left w:w="0" w:type="dxa"/>
            <w:bottom w:w="0" w:type="dxa"/>
            <w:right w:w="0" w:type="dxa"/>
          </w:tblCellMar>
        </w:tblPrEx>
        <w:trPr>
          <w:trHeight w:val="489" w:hRule="atLeast"/>
        </w:trPr>
        <w:tc>
          <w:tcPr>
            <w:tcW w:w="730" w:type="dxa"/>
            <w:vMerge w:val="restart"/>
            <w:tcBorders>
              <w:top w:val="single" w:color="000000" w:sz="6" w:space="0"/>
              <w:left w:val="single" w:color="000000" w:sz="8" w:space="0"/>
              <w:right w:val="single" w:color="000000" w:sz="6" w:space="0"/>
            </w:tcBorders>
            <w:vAlign w:val="center"/>
          </w:tcPr>
          <w:p>
            <w:pPr>
              <w:widowControl/>
              <w:spacing w:line="40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党建工作</w:t>
            </w:r>
          </w:p>
        </w:tc>
        <w:tc>
          <w:tcPr>
            <w:tcW w:w="2023" w:type="dxa"/>
            <w:tcBorders>
              <w:top w:val="single" w:color="000000" w:sz="6" w:space="0"/>
              <w:left w:val="single" w:color="000000" w:sz="6" w:space="0"/>
              <w:bottom w:val="single" w:color="000000" w:sz="6" w:space="0"/>
              <w:right w:val="single" w:color="000000" w:sz="6" w:space="0"/>
            </w:tcBorders>
            <w:tcMar>
              <w:left w:w="101" w:type="dxa"/>
              <w:right w:w="101" w:type="dxa"/>
            </w:tcMar>
          </w:tcPr>
          <w:p>
            <w:pPr>
              <w:widowControl/>
              <w:spacing w:line="480" w:lineRule="atLeast"/>
              <w:jc w:val="left"/>
              <w:rPr>
                <w:rFonts w:ascii="宋体" w:hAnsi="宋体" w:cs="宋体"/>
                <w:bCs/>
                <w:kern w:val="0"/>
                <w:sz w:val="24"/>
              </w:rPr>
            </w:pPr>
            <w:r>
              <w:rPr>
                <w:rFonts w:hint="eastAsia" w:ascii="宋体" w:hAnsi="宋体"/>
                <w:bCs/>
                <w:szCs w:val="21"/>
              </w:rPr>
              <w:t>1、思想建设</w:t>
            </w:r>
          </w:p>
        </w:tc>
        <w:tc>
          <w:tcPr>
            <w:tcW w:w="816" w:type="dxa"/>
            <w:tcBorders>
              <w:top w:val="single" w:color="000000" w:sz="6" w:space="0"/>
              <w:left w:val="single" w:color="000000" w:sz="6" w:space="0"/>
              <w:bottom w:val="single" w:color="000000" w:sz="6" w:space="0"/>
              <w:right w:val="single" w:color="000000" w:sz="6" w:space="0"/>
            </w:tcBorders>
            <w:tcMar>
              <w:top w:w="0" w:type="dxa"/>
              <w:left w:w="98" w:type="dxa"/>
              <w:bottom w:w="0" w:type="dxa"/>
              <w:right w:w="101" w:type="dxa"/>
            </w:tcMar>
          </w:tcPr>
          <w:p>
            <w:pPr>
              <w:widowControl/>
              <w:spacing w:line="480" w:lineRule="atLeast"/>
              <w:jc w:val="center"/>
              <w:rPr>
                <w:rFonts w:ascii="宋体" w:hAnsi="宋体" w:cs="宋体"/>
                <w:bCs/>
                <w:kern w:val="0"/>
                <w:sz w:val="24"/>
              </w:rPr>
            </w:pPr>
            <w:r>
              <w:rPr>
                <w:rFonts w:hint="eastAsia" w:ascii="宋体" w:hAnsi="宋体" w:cs="宋体"/>
                <w:bCs/>
                <w:kern w:val="0"/>
                <w:sz w:val="24"/>
              </w:rPr>
              <w:t>是</w:t>
            </w:r>
          </w:p>
        </w:tc>
        <w:tc>
          <w:tcPr>
            <w:tcW w:w="4531"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ind w:firstLine="420" w:firstLineChars="200"/>
              <w:rPr>
                <w:rFonts w:ascii="宋体" w:hAnsi="宋体" w:cs="宋体"/>
                <w:bCs/>
                <w:kern w:val="0"/>
                <w:szCs w:val="21"/>
              </w:rPr>
            </w:pPr>
            <w:r>
              <w:rPr>
                <w:rFonts w:hint="eastAsia" w:ascii="宋体" w:hAnsi="宋体" w:cs="宋体"/>
                <w:bCs/>
                <w:kern w:val="0"/>
                <w:szCs w:val="21"/>
              </w:rPr>
              <w:t>通过开展党委中心组学习、支部学习等学习活动，传达和学习了党的最新精神。以“四讲四有”和“四有老师”为主线，加强了师生的思想政治工作；以“感动水环人物”的评选，引领师生树立了正确的价值观；通过讲党课、学习座谈、隆重集会等方式举行纪念建党95周年和长征胜利80周年系列活动，引领师生不忘初心，继续前行；通过开展国旗下的讲话活动，引领学生爱党、爱国。通过以上措施，在学院强化了思想引领，把牢了意识形态阵地，掌握了舆论主导权，加强了师生的凝聚力、向心力。</w:t>
            </w:r>
          </w:p>
        </w:tc>
        <w:tc>
          <w:tcPr>
            <w:tcW w:w="1276"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widowControl/>
              <w:spacing w:line="480" w:lineRule="atLeast"/>
              <w:jc w:val="center"/>
              <w:rPr>
                <w:rFonts w:ascii="宋体" w:hAnsi="宋体" w:cs="宋体"/>
                <w:bCs/>
                <w:kern w:val="0"/>
                <w:sz w:val="24"/>
              </w:rPr>
            </w:pPr>
            <w:r>
              <w:rPr>
                <w:rFonts w:hint="eastAsia" w:ascii="宋体" w:hAnsi="宋体" w:cs="宋体"/>
                <w:bCs/>
                <w:kern w:val="0"/>
                <w:sz w:val="24"/>
              </w:rPr>
              <w:t>无</w:t>
            </w:r>
          </w:p>
        </w:tc>
        <w:tc>
          <w:tcPr>
            <w:tcW w:w="2874"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widowControl/>
              <w:spacing w:line="480" w:lineRule="atLeast"/>
              <w:rPr>
                <w:rFonts w:ascii="宋体" w:hAnsi="宋体" w:cs="宋体"/>
                <w:kern w:val="0"/>
                <w:sz w:val="24"/>
              </w:rPr>
            </w:pPr>
            <w:r>
              <w:rPr>
                <w:rFonts w:hint="eastAsia" w:ascii="宋体" w:hAnsi="宋体" w:cs="宋体"/>
                <w:b/>
                <w:bCs/>
                <w:kern w:val="0"/>
                <w:sz w:val="24"/>
              </w:rPr>
              <w:t> </w:t>
            </w:r>
          </w:p>
        </w:tc>
        <w:tc>
          <w:tcPr>
            <w:tcW w:w="1808" w:type="dxa"/>
            <w:tcBorders>
              <w:top w:val="single" w:color="000000" w:sz="6" w:space="0"/>
              <w:left w:val="single" w:color="000000" w:sz="6" w:space="0"/>
              <w:bottom w:val="single" w:color="000000" w:sz="6" w:space="0"/>
              <w:right w:val="single" w:color="000000" w:sz="8" w:space="0"/>
            </w:tcBorders>
            <w:tcMar>
              <w:top w:w="0" w:type="dxa"/>
              <w:left w:w="101" w:type="dxa"/>
              <w:bottom w:w="0" w:type="dxa"/>
              <w:right w:w="98" w:type="dxa"/>
            </w:tcMar>
          </w:tcPr>
          <w:p>
            <w:pPr>
              <w:widowControl/>
              <w:spacing w:line="480" w:lineRule="atLeast"/>
              <w:rPr>
                <w:rFonts w:ascii="宋体" w:hAnsi="宋体" w:cs="宋体"/>
                <w:kern w:val="0"/>
                <w:sz w:val="24"/>
              </w:rPr>
            </w:pPr>
            <w:r>
              <w:rPr>
                <w:rFonts w:hint="eastAsia" w:ascii="宋体" w:hAnsi="宋体" w:cs="宋体"/>
                <w:b/>
                <w:bCs/>
                <w:kern w:val="0"/>
                <w:sz w:val="24"/>
              </w:rPr>
              <w:t> </w:t>
            </w:r>
          </w:p>
        </w:tc>
      </w:tr>
      <w:tr>
        <w:tblPrEx>
          <w:tblLayout w:type="fixed"/>
          <w:tblCellMar>
            <w:top w:w="0" w:type="dxa"/>
            <w:left w:w="0" w:type="dxa"/>
            <w:bottom w:w="0" w:type="dxa"/>
            <w:right w:w="0" w:type="dxa"/>
          </w:tblCellMar>
        </w:tblPrEx>
        <w:trPr>
          <w:trHeight w:val="388" w:hRule="atLeast"/>
        </w:trPr>
        <w:tc>
          <w:tcPr>
            <w:tcW w:w="730" w:type="dxa"/>
            <w:vMerge w:val="continue"/>
            <w:tcBorders>
              <w:left w:val="single" w:color="000000" w:sz="8" w:space="0"/>
              <w:right w:val="single" w:color="000000" w:sz="6" w:space="0"/>
            </w:tcBorders>
            <w:vAlign w:val="center"/>
          </w:tcPr>
          <w:p>
            <w:pPr>
              <w:widowControl/>
              <w:spacing w:line="400" w:lineRule="exact"/>
              <w:jc w:val="left"/>
              <w:rPr>
                <w:rFonts w:ascii="仿宋" w:hAnsi="仿宋" w:eastAsia="仿宋" w:cs="宋体"/>
                <w:b/>
                <w:bCs/>
                <w:kern w:val="0"/>
                <w:sz w:val="28"/>
                <w:szCs w:val="28"/>
              </w:rPr>
            </w:pPr>
          </w:p>
        </w:tc>
        <w:tc>
          <w:tcPr>
            <w:tcW w:w="2023"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widowControl/>
              <w:spacing w:line="480" w:lineRule="atLeast"/>
              <w:jc w:val="left"/>
              <w:rPr>
                <w:rFonts w:ascii="宋体" w:hAnsi="宋体" w:cs="宋体"/>
                <w:bCs/>
                <w:kern w:val="0"/>
                <w:sz w:val="24"/>
              </w:rPr>
            </w:pPr>
            <w:r>
              <w:rPr>
                <w:rFonts w:hint="eastAsia" w:ascii="宋体" w:hAnsi="宋体"/>
                <w:bCs/>
                <w:szCs w:val="21"/>
              </w:rPr>
              <w:t>2、组织建设</w:t>
            </w:r>
          </w:p>
        </w:tc>
        <w:tc>
          <w:tcPr>
            <w:tcW w:w="816"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widowControl/>
              <w:spacing w:line="480" w:lineRule="atLeast"/>
              <w:jc w:val="center"/>
              <w:rPr>
                <w:rFonts w:ascii="宋体" w:hAnsi="宋体" w:cs="宋体"/>
                <w:bCs/>
                <w:kern w:val="0"/>
                <w:sz w:val="24"/>
              </w:rPr>
            </w:pPr>
            <w:r>
              <w:rPr>
                <w:rFonts w:hint="eastAsia" w:ascii="宋体" w:hAnsi="宋体" w:cs="宋体"/>
                <w:bCs/>
                <w:kern w:val="0"/>
                <w:sz w:val="24"/>
              </w:rPr>
              <w:t>是</w:t>
            </w:r>
          </w:p>
        </w:tc>
        <w:tc>
          <w:tcPr>
            <w:tcW w:w="4531"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ind w:firstLine="420" w:firstLineChars="200"/>
              <w:rPr>
                <w:rFonts w:ascii="宋体" w:hAnsi="宋体" w:cs="宋体"/>
                <w:bCs/>
                <w:kern w:val="0"/>
                <w:szCs w:val="21"/>
              </w:rPr>
            </w:pPr>
            <w:r>
              <w:rPr>
                <w:rFonts w:hint="eastAsia" w:ascii="宋体" w:hAnsi="宋体" w:cs="宋体"/>
                <w:bCs/>
                <w:kern w:val="0"/>
                <w:szCs w:val="21"/>
              </w:rPr>
              <w:t>通过做好教工支部、学生支部的换届和改选；开展“红旗党支部”创建活动，设立党员示范岗；落实好党旗引领，百舸争先工程，开展特色党建活动；做好学院党员干部的教育和管理工作；做好党政一肩挑试点工作等，全面加强了党的组织建设，学院领导班子更加团结，党支部的战斗堡垒作用得到加强。</w:t>
            </w:r>
          </w:p>
        </w:tc>
        <w:tc>
          <w:tcPr>
            <w:tcW w:w="1276"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widowControl/>
              <w:spacing w:line="480" w:lineRule="atLeast"/>
              <w:jc w:val="center"/>
              <w:rPr>
                <w:rFonts w:ascii="宋体" w:hAnsi="宋体" w:cs="宋体"/>
                <w:bCs/>
                <w:kern w:val="0"/>
                <w:sz w:val="24"/>
              </w:rPr>
            </w:pPr>
            <w:r>
              <w:rPr>
                <w:rFonts w:hint="eastAsia" w:ascii="宋体" w:hAnsi="宋体" w:cs="宋体"/>
                <w:bCs/>
                <w:kern w:val="0"/>
                <w:sz w:val="24"/>
              </w:rPr>
              <w:t>无</w:t>
            </w:r>
          </w:p>
        </w:tc>
        <w:tc>
          <w:tcPr>
            <w:tcW w:w="2874"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widowControl/>
              <w:spacing w:line="480" w:lineRule="atLeast"/>
              <w:rPr>
                <w:rFonts w:ascii="宋体" w:hAnsi="宋体" w:cs="宋体"/>
                <w:kern w:val="0"/>
                <w:sz w:val="24"/>
              </w:rPr>
            </w:pPr>
            <w:r>
              <w:rPr>
                <w:rFonts w:hint="eastAsia" w:ascii="宋体" w:hAnsi="宋体" w:cs="宋体"/>
                <w:b/>
                <w:bCs/>
                <w:kern w:val="0"/>
                <w:sz w:val="24"/>
              </w:rPr>
              <w:t> </w:t>
            </w:r>
          </w:p>
        </w:tc>
        <w:tc>
          <w:tcPr>
            <w:tcW w:w="1808" w:type="dxa"/>
            <w:tcBorders>
              <w:top w:val="single" w:color="000000" w:sz="6" w:space="0"/>
              <w:left w:val="single" w:color="000000" w:sz="6" w:space="0"/>
              <w:bottom w:val="single" w:color="000000" w:sz="6" w:space="0"/>
              <w:right w:val="single" w:color="000000" w:sz="8" w:space="0"/>
            </w:tcBorders>
            <w:tcMar>
              <w:top w:w="0" w:type="dxa"/>
              <w:left w:w="101" w:type="dxa"/>
              <w:bottom w:w="0" w:type="dxa"/>
              <w:right w:w="98" w:type="dxa"/>
            </w:tcMar>
          </w:tcPr>
          <w:p>
            <w:pPr>
              <w:widowControl/>
              <w:spacing w:line="480" w:lineRule="atLeast"/>
              <w:rPr>
                <w:rFonts w:ascii="宋体" w:hAnsi="宋体" w:cs="宋体"/>
                <w:kern w:val="0"/>
                <w:sz w:val="24"/>
              </w:rPr>
            </w:pPr>
            <w:r>
              <w:rPr>
                <w:rFonts w:hint="eastAsia" w:ascii="宋体" w:hAnsi="宋体" w:cs="宋体"/>
                <w:b/>
                <w:bCs/>
                <w:kern w:val="0"/>
                <w:sz w:val="24"/>
              </w:rPr>
              <w:t> </w:t>
            </w:r>
          </w:p>
        </w:tc>
      </w:tr>
      <w:tr>
        <w:tblPrEx>
          <w:tblLayout w:type="fixed"/>
          <w:tblCellMar>
            <w:top w:w="0" w:type="dxa"/>
            <w:left w:w="0" w:type="dxa"/>
            <w:bottom w:w="0" w:type="dxa"/>
            <w:right w:w="0" w:type="dxa"/>
          </w:tblCellMar>
        </w:tblPrEx>
        <w:trPr>
          <w:trHeight w:val="478" w:hRule="atLeast"/>
        </w:trPr>
        <w:tc>
          <w:tcPr>
            <w:tcW w:w="730" w:type="dxa"/>
            <w:vMerge w:val="continue"/>
            <w:tcBorders>
              <w:left w:val="single" w:color="000000" w:sz="8" w:space="0"/>
              <w:right w:val="single" w:color="000000" w:sz="6" w:space="0"/>
            </w:tcBorders>
            <w:vAlign w:val="center"/>
          </w:tcPr>
          <w:p>
            <w:pPr>
              <w:widowControl/>
              <w:spacing w:line="400" w:lineRule="exact"/>
              <w:jc w:val="center"/>
              <w:rPr>
                <w:rFonts w:ascii="仿宋" w:hAnsi="仿宋" w:eastAsia="仿宋" w:cs="宋体"/>
                <w:b/>
                <w:bCs/>
                <w:kern w:val="0"/>
                <w:sz w:val="28"/>
                <w:szCs w:val="28"/>
              </w:rPr>
            </w:pPr>
          </w:p>
        </w:tc>
        <w:tc>
          <w:tcPr>
            <w:tcW w:w="2023"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widowControl/>
              <w:spacing w:line="480" w:lineRule="atLeast"/>
              <w:jc w:val="left"/>
              <w:rPr>
                <w:rFonts w:ascii="宋体" w:hAnsi="宋体" w:cs="宋体"/>
                <w:bCs/>
                <w:kern w:val="0"/>
                <w:sz w:val="24"/>
              </w:rPr>
            </w:pPr>
            <w:r>
              <w:rPr>
                <w:rFonts w:hint="eastAsia" w:ascii="宋体" w:hAnsi="宋体"/>
                <w:bCs/>
                <w:szCs w:val="21"/>
              </w:rPr>
              <w:t>3、作风建设（开展“两学一做”学习教育活动）</w:t>
            </w:r>
          </w:p>
        </w:tc>
        <w:tc>
          <w:tcPr>
            <w:tcW w:w="816"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widowControl/>
              <w:spacing w:line="480" w:lineRule="atLeast"/>
              <w:jc w:val="center"/>
              <w:rPr>
                <w:rFonts w:ascii="宋体" w:hAnsi="宋体" w:cs="宋体"/>
                <w:bCs/>
                <w:kern w:val="0"/>
                <w:sz w:val="24"/>
              </w:rPr>
            </w:pPr>
            <w:r>
              <w:rPr>
                <w:rFonts w:hint="eastAsia" w:ascii="宋体" w:hAnsi="宋体" w:cs="宋体"/>
                <w:bCs/>
                <w:kern w:val="0"/>
                <w:sz w:val="24"/>
              </w:rPr>
              <w:t>是</w:t>
            </w:r>
          </w:p>
        </w:tc>
        <w:tc>
          <w:tcPr>
            <w:tcW w:w="4531"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ind w:firstLine="420" w:firstLineChars="200"/>
              <w:rPr>
                <w:rFonts w:ascii="宋体" w:hAnsi="宋体" w:cs="宋体"/>
                <w:bCs/>
                <w:kern w:val="0"/>
                <w:szCs w:val="21"/>
              </w:rPr>
            </w:pPr>
            <w:r>
              <w:rPr>
                <w:rFonts w:hint="eastAsia" w:ascii="宋体" w:hAnsi="宋体" w:cs="宋体"/>
                <w:bCs/>
                <w:kern w:val="0"/>
                <w:szCs w:val="21"/>
              </w:rPr>
              <w:t>通过认真开展</w:t>
            </w:r>
            <w:r>
              <w:rPr>
                <w:rFonts w:hint="eastAsia" w:ascii="宋体" w:hAnsi="宋体"/>
                <w:bCs/>
                <w:szCs w:val="21"/>
              </w:rPr>
              <w:t>“两学一做”学习教育，</w:t>
            </w:r>
            <w:r>
              <w:rPr>
                <w:rFonts w:hint="eastAsia" w:ascii="宋体" w:hAnsi="宋体" w:cs="宋体"/>
                <w:bCs/>
                <w:kern w:val="0"/>
                <w:szCs w:val="21"/>
              </w:rPr>
              <w:t>党员的意识得到了增强，党员的党性觉悟得到提高，党员的先锋模范作用在教学、科研、社会服务及学习中得到比较充分的体现。进一步增强了党员领导干部的政治意识、大局意识、核心意识、看齐意识。</w:t>
            </w:r>
          </w:p>
        </w:tc>
        <w:tc>
          <w:tcPr>
            <w:tcW w:w="1276"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widowControl/>
              <w:spacing w:line="480" w:lineRule="atLeast"/>
              <w:jc w:val="center"/>
              <w:rPr>
                <w:rFonts w:ascii="宋体" w:hAnsi="宋体" w:cs="宋体"/>
                <w:bCs/>
                <w:kern w:val="0"/>
                <w:sz w:val="24"/>
              </w:rPr>
            </w:pPr>
            <w:r>
              <w:rPr>
                <w:rFonts w:hint="eastAsia" w:ascii="宋体" w:hAnsi="宋体" w:cs="宋体"/>
                <w:bCs/>
                <w:kern w:val="0"/>
                <w:sz w:val="24"/>
              </w:rPr>
              <w:t>无</w:t>
            </w:r>
          </w:p>
        </w:tc>
        <w:tc>
          <w:tcPr>
            <w:tcW w:w="2874"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rPr>
                <w:rFonts w:ascii="宋体" w:hAnsi="宋体" w:cs="宋体"/>
                <w:bCs/>
                <w:kern w:val="0"/>
                <w:szCs w:val="21"/>
              </w:rPr>
            </w:pPr>
          </w:p>
        </w:tc>
        <w:tc>
          <w:tcPr>
            <w:tcW w:w="1808" w:type="dxa"/>
            <w:tcBorders>
              <w:top w:val="single" w:color="000000" w:sz="6" w:space="0"/>
              <w:left w:val="single" w:color="000000" w:sz="6" w:space="0"/>
              <w:bottom w:val="single" w:color="000000" w:sz="6" w:space="0"/>
              <w:right w:val="single" w:color="000000" w:sz="8" w:space="0"/>
            </w:tcBorders>
            <w:tcMar>
              <w:top w:w="0" w:type="dxa"/>
              <w:left w:w="101" w:type="dxa"/>
              <w:bottom w:w="0" w:type="dxa"/>
              <w:right w:w="98" w:type="dxa"/>
            </w:tcMar>
          </w:tcPr>
          <w:p>
            <w:pPr>
              <w:widowControl/>
              <w:spacing w:line="480" w:lineRule="atLeast"/>
              <w:rPr>
                <w:rFonts w:ascii="宋体" w:hAnsi="宋体" w:cs="宋体"/>
                <w:kern w:val="0"/>
                <w:sz w:val="24"/>
              </w:rPr>
            </w:pPr>
            <w:r>
              <w:rPr>
                <w:rFonts w:hint="eastAsia" w:ascii="宋体" w:hAnsi="宋体" w:cs="宋体"/>
                <w:b/>
                <w:bCs/>
                <w:kern w:val="0"/>
                <w:sz w:val="24"/>
              </w:rPr>
              <w:t> </w:t>
            </w:r>
          </w:p>
        </w:tc>
      </w:tr>
      <w:tr>
        <w:tblPrEx>
          <w:tblLayout w:type="fixed"/>
          <w:tblCellMar>
            <w:top w:w="0" w:type="dxa"/>
            <w:left w:w="0" w:type="dxa"/>
            <w:bottom w:w="0" w:type="dxa"/>
            <w:right w:w="0" w:type="dxa"/>
          </w:tblCellMar>
        </w:tblPrEx>
        <w:trPr>
          <w:trHeight w:val="478" w:hRule="atLeast"/>
        </w:trPr>
        <w:tc>
          <w:tcPr>
            <w:tcW w:w="730" w:type="dxa"/>
            <w:vMerge w:val="continue"/>
            <w:tcBorders>
              <w:left w:val="single" w:color="000000" w:sz="8" w:space="0"/>
              <w:right w:val="single" w:color="000000" w:sz="6" w:space="0"/>
            </w:tcBorders>
            <w:vAlign w:val="center"/>
          </w:tcPr>
          <w:p>
            <w:pPr>
              <w:widowControl/>
              <w:spacing w:line="400" w:lineRule="exact"/>
              <w:jc w:val="center"/>
              <w:rPr>
                <w:rFonts w:ascii="仿宋" w:hAnsi="仿宋" w:eastAsia="仿宋" w:cs="宋体"/>
                <w:b/>
                <w:bCs/>
                <w:kern w:val="0"/>
                <w:sz w:val="28"/>
                <w:szCs w:val="28"/>
              </w:rPr>
            </w:pPr>
          </w:p>
        </w:tc>
        <w:tc>
          <w:tcPr>
            <w:tcW w:w="2023"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widowControl/>
              <w:spacing w:line="480" w:lineRule="atLeast"/>
              <w:jc w:val="left"/>
              <w:rPr>
                <w:rFonts w:ascii="宋体" w:hAnsi="宋体" w:cs="宋体"/>
                <w:bCs/>
                <w:kern w:val="0"/>
                <w:sz w:val="24"/>
              </w:rPr>
            </w:pPr>
            <w:r>
              <w:rPr>
                <w:rFonts w:hint="eastAsia" w:ascii="宋体" w:hAnsi="宋体"/>
                <w:bCs/>
                <w:szCs w:val="21"/>
              </w:rPr>
              <w:t>4、制度建设</w:t>
            </w:r>
          </w:p>
        </w:tc>
        <w:tc>
          <w:tcPr>
            <w:tcW w:w="816"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widowControl/>
              <w:spacing w:line="480" w:lineRule="atLeast"/>
              <w:jc w:val="center"/>
              <w:rPr>
                <w:rFonts w:ascii="宋体" w:hAnsi="宋体" w:cs="宋体"/>
                <w:bCs/>
                <w:kern w:val="0"/>
                <w:sz w:val="24"/>
              </w:rPr>
            </w:pPr>
            <w:r>
              <w:rPr>
                <w:rFonts w:hint="eastAsia" w:ascii="宋体" w:hAnsi="宋体" w:cs="宋体"/>
                <w:bCs/>
                <w:kern w:val="0"/>
                <w:sz w:val="24"/>
              </w:rPr>
              <w:t>是</w:t>
            </w:r>
          </w:p>
        </w:tc>
        <w:tc>
          <w:tcPr>
            <w:tcW w:w="4531"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ind w:firstLine="420" w:firstLineChars="200"/>
              <w:rPr>
                <w:rFonts w:ascii="宋体" w:hAnsi="宋体" w:cs="宋体"/>
                <w:bCs/>
                <w:kern w:val="0"/>
                <w:szCs w:val="21"/>
              </w:rPr>
            </w:pPr>
            <w:r>
              <w:rPr>
                <w:rFonts w:hint="eastAsia" w:ascii="宋体" w:hAnsi="宋体" w:cs="宋体"/>
                <w:bCs/>
                <w:kern w:val="0"/>
                <w:szCs w:val="21"/>
              </w:rPr>
              <w:t>制定了《中共三峡大学水利与环境学院委员会会议议事规则》、《水利与环境学院关于落实“三重一大”制度实施办法》、《水利与环境学院党政联系会议制度》、《水利与环境学院教职工政治理论学习制度》等规章制度。通过制度建设，使学院党政工作更加规范化、科学化、民主化。</w:t>
            </w:r>
          </w:p>
        </w:tc>
        <w:tc>
          <w:tcPr>
            <w:tcW w:w="1276"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widowControl/>
              <w:spacing w:line="480" w:lineRule="atLeast"/>
              <w:jc w:val="center"/>
              <w:rPr>
                <w:rFonts w:ascii="宋体" w:hAnsi="宋体" w:cs="宋体"/>
                <w:bCs/>
                <w:kern w:val="0"/>
                <w:sz w:val="24"/>
              </w:rPr>
            </w:pPr>
            <w:r>
              <w:rPr>
                <w:rFonts w:hint="eastAsia" w:ascii="宋体" w:hAnsi="宋体" w:cs="宋体"/>
                <w:bCs/>
                <w:kern w:val="0"/>
                <w:sz w:val="24"/>
              </w:rPr>
              <w:t>无</w:t>
            </w:r>
          </w:p>
        </w:tc>
        <w:tc>
          <w:tcPr>
            <w:tcW w:w="2874"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rPr>
                <w:rFonts w:ascii="宋体" w:hAnsi="宋体" w:cs="宋体"/>
                <w:bCs/>
                <w:kern w:val="0"/>
                <w:szCs w:val="21"/>
              </w:rPr>
            </w:pPr>
          </w:p>
        </w:tc>
        <w:tc>
          <w:tcPr>
            <w:tcW w:w="1808" w:type="dxa"/>
            <w:tcBorders>
              <w:top w:val="single" w:color="000000" w:sz="6" w:space="0"/>
              <w:left w:val="single" w:color="000000" w:sz="6" w:space="0"/>
              <w:bottom w:val="single" w:color="000000" w:sz="6" w:space="0"/>
              <w:right w:val="single" w:color="000000" w:sz="8" w:space="0"/>
            </w:tcBorders>
            <w:tcMar>
              <w:top w:w="0" w:type="dxa"/>
              <w:left w:w="101" w:type="dxa"/>
              <w:bottom w:w="0" w:type="dxa"/>
              <w:right w:w="98" w:type="dxa"/>
            </w:tcMar>
          </w:tcPr>
          <w:p>
            <w:pPr>
              <w:widowControl/>
              <w:spacing w:line="480" w:lineRule="atLeast"/>
              <w:rPr>
                <w:rFonts w:ascii="宋体" w:hAnsi="宋体" w:cs="宋体"/>
                <w:b/>
                <w:bCs/>
                <w:kern w:val="0"/>
                <w:sz w:val="24"/>
              </w:rPr>
            </w:pPr>
          </w:p>
        </w:tc>
      </w:tr>
      <w:tr>
        <w:tblPrEx>
          <w:tblLayout w:type="fixed"/>
          <w:tblCellMar>
            <w:top w:w="0" w:type="dxa"/>
            <w:left w:w="0" w:type="dxa"/>
            <w:bottom w:w="0" w:type="dxa"/>
            <w:right w:w="0" w:type="dxa"/>
          </w:tblCellMar>
        </w:tblPrEx>
        <w:trPr>
          <w:trHeight w:val="478" w:hRule="atLeast"/>
        </w:trPr>
        <w:tc>
          <w:tcPr>
            <w:tcW w:w="730" w:type="dxa"/>
            <w:vMerge w:val="continue"/>
            <w:tcBorders>
              <w:left w:val="single" w:color="000000" w:sz="8" w:space="0"/>
              <w:bottom w:val="single" w:color="000000" w:sz="6" w:space="0"/>
              <w:right w:val="single" w:color="000000" w:sz="6" w:space="0"/>
            </w:tcBorders>
            <w:vAlign w:val="center"/>
          </w:tcPr>
          <w:p>
            <w:pPr>
              <w:widowControl/>
              <w:spacing w:line="400" w:lineRule="exact"/>
              <w:jc w:val="center"/>
              <w:rPr>
                <w:rFonts w:ascii="仿宋" w:hAnsi="仿宋" w:eastAsia="仿宋" w:cs="宋体"/>
                <w:b/>
                <w:bCs/>
                <w:kern w:val="0"/>
                <w:sz w:val="28"/>
                <w:szCs w:val="28"/>
              </w:rPr>
            </w:pPr>
          </w:p>
        </w:tc>
        <w:tc>
          <w:tcPr>
            <w:tcW w:w="2023"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widowControl/>
              <w:spacing w:line="480" w:lineRule="atLeast"/>
              <w:jc w:val="left"/>
              <w:rPr>
                <w:rFonts w:ascii="宋体" w:hAnsi="宋体" w:cs="宋体"/>
                <w:bCs/>
                <w:kern w:val="0"/>
                <w:sz w:val="24"/>
              </w:rPr>
            </w:pPr>
            <w:r>
              <w:rPr>
                <w:rFonts w:hint="eastAsia" w:ascii="宋体" w:hAnsi="宋体" w:cs="宋体"/>
                <w:bCs/>
                <w:szCs w:val="21"/>
              </w:rPr>
              <w:t>5. 反腐倡廉建设</w:t>
            </w:r>
          </w:p>
        </w:tc>
        <w:tc>
          <w:tcPr>
            <w:tcW w:w="816"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widowControl/>
              <w:spacing w:line="480" w:lineRule="atLeast"/>
              <w:jc w:val="center"/>
              <w:rPr>
                <w:rFonts w:ascii="宋体" w:hAnsi="宋体" w:cs="宋体"/>
                <w:bCs/>
                <w:kern w:val="0"/>
                <w:sz w:val="24"/>
              </w:rPr>
            </w:pPr>
            <w:r>
              <w:rPr>
                <w:rFonts w:hint="eastAsia" w:ascii="宋体" w:hAnsi="宋体" w:cs="宋体"/>
                <w:bCs/>
                <w:kern w:val="0"/>
                <w:sz w:val="24"/>
              </w:rPr>
              <w:t>是</w:t>
            </w:r>
          </w:p>
        </w:tc>
        <w:tc>
          <w:tcPr>
            <w:tcW w:w="4531"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ind w:firstLine="420" w:firstLineChars="200"/>
              <w:rPr>
                <w:rFonts w:ascii="宋体" w:hAnsi="宋体" w:cs="宋体"/>
                <w:bCs/>
                <w:kern w:val="0"/>
                <w:szCs w:val="21"/>
              </w:rPr>
            </w:pPr>
            <w:r>
              <w:rPr>
                <w:rFonts w:hint="eastAsia" w:ascii="宋体" w:hAnsi="宋体" w:cs="宋体"/>
                <w:bCs/>
                <w:kern w:val="0"/>
                <w:szCs w:val="21"/>
              </w:rPr>
              <w:t>通过召开党风廉政建设和反腐败工作大会、逐级签订《党风廉政责任书》、开展第17个党风廉政建设宣传月教育活动及细化两个责任清单和风险点防控清单等措施增强了全院党员的廉洁意识，进一步营造了风清气正、严守政治纪律政治规矩的氛围。</w:t>
            </w:r>
          </w:p>
        </w:tc>
        <w:tc>
          <w:tcPr>
            <w:tcW w:w="1276"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widowControl/>
              <w:spacing w:line="480" w:lineRule="atLeast"/>
              <w:jc w:val="center"/>
              <w:rPr>
                <w:rFonts w:ascii="宋体" w:hAnsi="宋体" w:cs="宋体"/>
                <w:bCs/>
                <w:kern w:val="0"/>
                <w:sz w:val="24"/>
              </w:rPr>
            </w:pPr>
            <w:r>
              <w:rPr>
                <w:rFonts w:hint="eastAsia" w:ascii="宋体" w:hAnsi="宋体" w:cs="宋体"/>
                <w:bCs/>
                <w:kern w:val="0"/>
                <w:sz w:val="24"/>
              </w:rPr>
              <w:t>无</w:t>
            </w:r>
          </w:p>
        </w:tc>
        <w:tc>
          <w:tcPr>
            <w:tcW w:w="2874"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rPr>
                <w:rFonts w:ascii="宋体" w:hAnsi="宋体" w:cs="宋体"/>
                <w:bCs/>
                <w:kern w:val="0"/>
                <w:szCs w:val="21"/>
              </w:rPr>
            </w:pPr>
          </w:p>
        </w:tc>
        <w:tc>
          <w:tcPr>
            <w:tcW w:w="1808" w:type="dxa"/>
            <w:tcBorders>
              <w:top w:val="single" w:color="000000" w:sz="6" w:space="0"/>
              <w:left w:val="single" w:color="000000" w:sz="6" w:space="0"/>
              <w:bottom w:val="single" w:color="000000" w:sz="6" w:space="0"/>
              <w:right w:val="single" w:color="000000" w:sz="8" w:space="0"/>
            </w:tcBorders>
            <w:tcMar>
              <w:top w:w="0" w:type="dxa"/>
              <w:left w:w="101" w:type="dxa"/>
              <w:bottom w:w="0" w:type="dxa"/>
              <w:right w:w="98" w:type="dxa"/>
            </w:tcMar>
          </w:tcPr>
          <w:p>
            <w:pPr>
              <w:widowControl/>
              <w:spacing w:line="480" w:lineRule="atLeast"/>
              <w:rPr>
                <w:rFonts w:ascii="宋体" w:hAnsi="宋体" w:cs="宋体"/>
                <w:b/>
                <w:bCs/>
                <w:kern w:val="0"/>
                <w:sz w:val="24"/>
              </w:rPr>
            </w:pPr>
          </w:p>
        </w:tc>
      </w:tr>
      <w:tr>
        <w:tblPrEx>
          <w:tblLayout w:type="fixed"/>
          <w:tblCellMar>
            <w:top w:w="0" w:type="dxa"/>
            <w:left w:w="0" w:type="dxa"/>
            <w:bottom w:w="0" w:type="dxa"/>
            <w:right w:w="0" w:type="dxa"/>
          </w:tblCellMar>
        </w:tblPrEx>
        <w:trPr>
          <w:trHeight w:val="478" w:hRule="atLeast"/>
        </w:trPr>
        <w:tc>
          <w:tcPr>
            <w:tcW w:w="730" w:type="dxa"/>
            <w:vMerge w:val="restart"/>
            <w:tcBorders>
              <w:top w:val="single" w:color="000000" w:sz="6" w:space="0"/>
              <w:left w:val="single" w:color="000000" w:sz="8" w:space="0"/>
              <w:right w:val="single" w:color="000000" w:sz="6" w:space="0"/>
            </w:tcBorders>
            <w:vAlign w:val="center"/>
          </w:tcPr>
          <w:p>
            <w:pPr>
              <w:widowControl/>
              <w:spacing w:line="40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 </w:t>
            </w:r>
          </w:p>
          <w:p>
            <w:pPr>
              <w:widowControl/>
              <w:spacing w:line="40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履职尽责及</w:t>
            </w:r>
          </w:p>
          <w:p>
            <w:pPr>
              <w:widowControl/>
              <w:spacing w:line="40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目标管理</w:t>
            </w:r>
          </w:p>
        </w:tc>
        <w:tc>
          <w:tcPr>
            <w:tcW w:w="2023" w:type="dxa"/>
            <w:tcBorders>
              <w:top w:val="single" w:color="000000" w:sz="6" w:space="0"/>
              <w:left w:val="single" w:color="000000" w:sz="6" w:space="0"/>
              <w:bottom w:val="single" w:color="000000" w:sz="6" w:space="0"/>
              <w:right w:val="single" w:color="000000" w:sz="6" w:space="0"/>
            </w:tcBorders>
            <w:tcMar>
              <w:left w:w="101" w:type="dxa"/>
              <w:right w:w="101" w:type="dxa"/>
            </w:tcMar>
          </w:tcPr>
          <w:p>
            <w:pPr>
              <w:adjustRightInd w:val="0"/>
              <w:snapToGrid w:val="0"/>
              <w:spacing w:line="240" w:lineRule="exact"/>
              <w:jc w:val="left"/>
              <w:rPr>
                <w:rFonts w:ascii="宋体" w:hAnsi="宋体" w:cs="宋体"/>
                <w:bCs/>
                <w:kern w:val="0"/>
                <w:sz w:val="24"/>
              </w:rPr>
            </w:pPr>
            <w:r>
              <w:rPr>
                <w:rFonts w:hint="eastAsia" w:ascii="宋体" w:hAnsi="宋体" w:cs="宋体"/>
                <w:bCs/>
                <w:szCs w:val="21"/>
              </w:rPr>
              <w:t>1.组织并做好学科建设工作</w:t>
            </w:r>
          </w:p>
        </w:tc>
        <w:tc>
          <w:tcPr>
            <w:tcW w:w="816" w:type="dxa"/>
            <w:tcBorders>
              <w:top w:val="single" w:color="000000" w:sz="6" w:space="0"/>
              <w:left w:val="single" w:color="000000" w:sz="6" w:space="0"/>
              <w:bottom w:val="single" w:color="000000" w:sz="6" w:space="0"/>
              <w:right w:val="single" w:color="000000" w:sz="6" w:space="0"/>
            </w:tcBorders>
            <w:tcMar>
              <w:top w:w="0" w:type="dxa"/>
              <w:left w:w="98" w:type="dxa"/>
              <w:bottom w:w="0" w:type="dxa"/>
              <w:right w:w="101" w:type="dxa"/>
            </w:tcMar>
          </w:tcPr>
          <w:p>
            <w:pPr>
              <w:widowControl/>
              <w:spacing w:line="480" w:lineRule="atLeast"/>
              <w:jc w:val="center"/>
              <w:rPr>
                <w:rFonts w:ascii="宋体" w:hAnsi="宋体" w:cs="宋体"/>
                <w:bCs/>
                <w:kern w:val="0"/>
                <w:sz w:val="24"/>
              </w:rPr>
            </w:pPr>
            <w:r>
              <w:rPr>
                <w:rFonts w:hint="eastAsia" w:ascii="宋体" w:hAnsi="宋体" w:cs="宋体"/>
                <w:bCs/>
                <w:kern w:val="0"/>
                <w:sz w:val="24"/>
              </w:rPr>
              <w:t>是</w:t>
            </w:r>
          </w:p>
        </w:tc>
        <w:tc>
          <w:tcPr>
            <w:tcW w:w="4531"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ind w:firstLine="420" w:firstLineChars="200"/>
              <w:rPr>
                <w:rFonts w:ascii="宋体" w:hAnsi="宋体" w:cs="宋体"/>
                <w:bCs/>
                <w:kern w:val="0"/>
                <w:szCs w:val="21"/>
              </w:rPr>
            </w:pPr>
            <w:r>
              <w:rPr>
                <w:rFonts w:hint="eastAsia" w:ascii="宋体" w:hAnsi="宋体" w:cs="宋体"/>
                <w:bCs/>
                <w:kern w:val="0"/>
                <w:szCs w:val="21"/>
              </w:rPr>
              <w:t>通过提交水利工程、管理科学与工程第四轮学科评估材料和水利工程、项目管理两个专业学位授权点校内评估材料；做好学校立项学科建设工作，提交年度建设进展报告；启动了管理科学与工程学科新一轮申报博士点、环境科学与工程学科增硕工作；积极参与水科学与工程学科群年度建设，并提交了建设报告等措施使得学院学科群建设稳步推进，学科实力和影响力得到提升。</w:t>
            </w:r>
          </w:p>
        </w:tc>
        <w:tc>
          <w:tcPr>
            <w:tcW w:w="1276"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widowControl/>
              <w:spacing w:line="480" w:lineRule="atLeast"/>
              <w:jc w:val="center"/>
              <w:rPr>
                <w:rFonts w:ascii="宋体" w:hAnsi="宋体" w:cs="宋体"/>
                <w:bCs/>
                <w:kern w:val="0"/>
                <w:sz w:val="24"/>
              </w:rPr>
            </w:pPr>
            <w:r>
              <w:rPr>
                <w:rFonts w:hint="eastAsia" w:ascii="宋体" w:hAnsi="宋体" w:cs="宋体"/>
                <w:bCs/>
                <w:kern w:val="0"/>
                <w:sz w:val="24"/>
              </w:rPr>
              <w:t>无</w:t>
            </w:r>
          </w:p>
        </w:tc>
        <w:tc>
          <w:tcPr>
            <w:tcW w:w="2874"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rPr>
                <w:rFonts w:ascii="宋体" w:hAnsi="宋体" w:cs="宋体"/>
                <w:kern w:val="0"/>
                <w:sz w:val="24"/>
              </w:rPr>
            </w:pPr>
          </w:p>
        </w:tc>
        <w:tc>
          <w:tcPr>
            <w:tcW w:w="1808" w:type="dxa"/>
            <w:tcBorders>
              <w:top w:val="single" w:color="000000" w:sz="6" w:space="0"/>
              <w:left w:val="single" w:color="000000" w:sz="6" w:space="0"/>
              <w:bottom w:val="single" w:color="000000" w:sz="6" w:space="0"/>
              <w:right w:val="single" w:color="000000" w:sz="8" w:space="0"/>
            </w:tcBorders>
            <w:tcMar>
              <w:top w:w="0" w:type="dxa"/>
              <w:left w:w="101" w:type="dxa"/>
              <w:bottom w:w="0" w:type="dxa"/>
              <w:right w:w="98" w:type="dxa"/>
            </w:tcMar>
          </w:tcPr>
          <w:p>
            <w:pPr>
              <w:widowControl/>
              <w:spacing w:line="480" w:lineRule="atLeast"/>
              <w:rPr>
                <w:rFonts w:ascii="宋体" w:hAnsi="宋体" w:cs="宋体"/>
                <w:kern w:val="0"/>
                <w:sz w:val="24"/>
              </w:rPr>
            </w:pPr>
            <w:r>
              <w:rPr>
                <w:rFonts w:hint="eastAsia" w:ascii="宋体" w:hAnsi="宋体" w:cs="宋体"/>
                <w:b/>
                <w:bCs/>
                <w:kern w:val="0"/>
                <w:sz w:val="24"/>
              </w:rPr>
              <w:t> </w:t>
            </w:r>
          </w:p>
        </w:tc>
      </w:tr>
      <w:tr>
        <w:tblPrEx>
          <w:tblLayout w:type="fixed"/>
          <w:tblCellMar>
            <w:top w:w="0" w:type="dxa"/>
            <w:left w:w="0" w:type="dxa"/>
            <w:bottom w:w="0" w:type="dxa"/>
            <w:right w:w="0" w:type="dxa"/>
          </w:tblCellMar>
        </w:tblPrEx>
        <w:trPr>
          <w:trHeight w:val="489" w:hRule="atLeast"/>
        </w:trPr>
        <w:tc>
          <w:tcPr>
            <w:tcW w:w="730" w:type="dxa"/>
            <w:vMerge w:val="continue"/>
            <w:tcBorders>
              <w:left w:val="single" w:color="000000" w:sz="8" w:space="0"/>
              <w:right w:val="single" w:color="000000" w:sz="6" w:space="0"/>
            </w:tcBorders>
            <w:vAlign w:val="center"/>
          </w:tcPr>
          <w:p>
            <w:pPr>
              <w:widowControl/>
              <w:jc w:val="left"/>
              <w:rPr>
                <w:rFonts w:ascii="宋体" w:hAnsi="宋体" w:cs="宋体"/>
                <w:kern w:val="0"/>
                <w:sz w:val="24"/>
              </w:rPr>
            </w:pPr>
          </w:p>
        </w:tc>
        <w:tc>
          <w:tcPr>
            <w:tcW w:w="2023"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adjustRightInd w:val="0"/>
              <w:snapToGrid w:val="0"/>
              <w:spacing w:line="240" w:lineRule="exact"/>
              <w:jc w:val="left"/>
              <w:rPr>
                <w:rFonts w:ascii="宋体" w:hAnsi="宋体" w:cs="Calibri"/>
                <w:bCs/>
                <w:szCs w:val="21"/>
              </w:rPr>
            </w:pPr>
            <w:r>
              <w:rPr>
                <w:rFonts w:hint="eastAsia" w:ascii="宋体" w:hAnsi="宋体" w:cs="宋体"/>
                <w:bCs/>
                <w:szCs w:val="21"/>
              </w:rPr>
              <w:t>2.人才工程与队伍建设</w:t>
            </w:r>
          </w:p>
        </w:tc>
        <w:tc>
          <w:tcPr>
            <w:tcW w:w="816"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widowControl/>
              <w:spacing w:line="480" w:lineRule="atLeast"/>
              <w:jc w:val="center"/>
              <w:rPr>
                <w:rFonts w:ascii="宋体" w:hAnsi="宋体" w:cs="宋体"/>
                <w:bCs/>
                <w:kern w:val="0"/>
                <w:sz w:val="24"/>
              </w:rPr>
            </w:pPr>
            <w:r>
              <w:rPr>
                <w:rFonts w:hint="eastAsia" w:ascii="宋体" w:hAnsi="宋体" w:cs="宋体"/>
                <w:bCs/>
                <w:kern w:val="0"/>
                <w:sz w:val="24"/>
              </w:rPr>
              <w:t>是</w:t>
            </w:r>
          </w:p>
        </w:tc>
        <w:tc>
          <w:tcPr>
            <w:tcW w:w="4531"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ind w:firstLine="420" w:firstLineChars="200"/>
              <w:rPr>
                <w:rFonts w:ascii="宋体" w:hAnsi="宋体" w:cs="宋体"/>
                <w:bCs/>
                <w:kern w:val="0"/>
                <w:szCs w:val="21"/>
              </w:rPr>
            </w:pPr>
            <w:r>
              <w:rPr>
                <w:rFonts w:hint="eastAsia" w:ascii="宋体" w:hAnsi="宋体" w:cs="宋体"/>
                <w:bCs/>
                <w:kern w:val="0"/>
                <w:szCs w:val="21"/>
              </w:rPr>
              <w:t>新引进博士8人、博士后2人；制定并认真落实本年度教职工培养培训计划，选派骨干教师攻读博士1人；召开了青年教师、新进教职工、教授、党外知识分子等各层次教职工座谈会，了解教师生活、学习、工作情况，组织开展师德师风教育；积极组织申报国家级、省部级人才工程，组织申报省部级及以上专家或省教学名师工作，协助做好国外人才引进工作；积极选派教师出国（境）研修和外语培训，选派教师挂职锻炼等措施使得学院教师队伍规模进一步扩大，博士学位教师占专任教师比例达 74.58%，教师队伍学历、学缘结构进一步优化。</w:t>
            </w:r>
          </w:p>
        </w:tc>
        <w:tc>
          <w:tcPr>
            <w:tcW w:w="1276"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widowControl/>
              <w:spacing w:line="480" w:lineRule="atLeast"/>
              <w:jc w:val="center"/>
              <w:rPr>
                <w:rFonts w:ascii="宋体" w:hAnsi="宋体" w:cs="宋体"/>
                <w:bCs/>
                <w:kern w:val="0"/>
                <w:sz w:val="24"/>
              </w:rPr>
            </w:pPr>
            <w:r>
              <w:rPr>
                <w:rFonts w:hint="eastAsia" w:ascii="宋体" w:hAnsi="宋体" w:cs="宋体"/>
                <w:bCs/>
                <w:kern w:val="0"/>
                <w:sz w:val="24"/>
              </w:rPr>
              <w:t>无</w:t>
            </w:r>
          </w:p>
        </w:tc>
        <w:tc>
          <w:tcPr>
            <w:tcW w:w="2874"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rPr>
                <w:rFonts w:ascii="宋体" w:hAnsi="宋体" w:cs="宋体"/>
                <w:bCs/>
                <w:kern w:val="0"/>
                <w:szCs w:val="21"/>
              </w:rPr>
            </w:pPr>
          </w:p>
        </w:tc>
        <w:tc>
          <w:tcPr>
            <w:tcW w:w="1808" w:type="dxa"/>
            <w:tcBorders>
              <w:top w:val="single" w:color="000000" w:sz="6" w:space="0"/>
              <w:left w:val="single" w:color="000000" w:sz="6" w:space="0"/>
              <w:bottom w:val="single" w:color="000000" w:sz="6" w:space="0"/>
              <w:right w:val="single" w:color="000000" w:sz="8" w:space="0"/>
            </w:tcBorders>
            <w:tcMar>
              <w:top w:w="0" w:type="dxa"/>
              <w:left w:w="101" w:type="dxa"/>
              <w:bottom w:w="0" w:type="dxa"/>
              <w:right w:w="98" w:type="dxa"/>
            </w:tcMar>
          </w:tcPr>
          <w:p>
            <w:pPr>
              <w:widowControl/>
              <w:spacing w:line="480" w:lineRule="atLeast"/>
              <w:rPr>
                <w:rFonts w:ascii="宋体" w:hAnsi="宋体" w:cs="宋体"/>
                <w:kern w:val="0"/>
                <w:sz w:val="24"/>
              </w:rPr>
            </w:pPr>
            <w:r>
              <w:rPr>
                <w:rFonts w:hint="eastAsia" w:ascii="宋体" w:hAnsi="宋体" w:cs="宋体"/>
                <w:b/>
                <w:bCs/>
                <w:kern w:val="0"/>
                <w:sz w:val="24"/>
              </w:rPr>
              <w:t> </w:t>
            </w:r>
          </w:p>
        </w:tc>
      </w:tr>
      <w:tr>
        <w:tblPrEx>
          <w:tblLayout w:type="fixed"/>
          <w:tblCellMar>
            <w:top w:w="0" w:type="dxa"/>
            <w:left w:w="0" w:type="dxa"/>
            <w:bottom w:w="0" w:type="dxa"/>
            <w:right w:w="0" w:type="dxa"/>
          </w:tblCellMar>
        </w:tblPrEx>
        <w:trPr>
          <w:trHeight w:val="489" w:hRule="atLeast"/>
        </w:trPr>
        <w:tc>
          <w:tcPr>
            <w:tcW w:w="730" w:type="dxa"/>
            <w:vMerge w:val="continue"/>
            <w:tcBorders>
              <w:left w:val="single" w:color="000000" w:sz="8" w:space="0"/>
              <w:right w:val="single" w:color="000000" w:sz="6" w:space="0"/>
            </w:tcBorders>
            <w:vAlign w:val="center"/>
          </w:tcPr>
          <w:p>
            <w:pPr>
              <w:widowControl/>
              <w:jc w:val="left"/>
              <w:rPr>
                <w:rFonts w:ascii="宋体" w:hAnsi="宋体" w:cs="宋体"/>
                <w:kern w:val="0"/>
                <w:sz w:val="24"/>
              </w:rPr>
            </w:pPr>
          </w:p>
        </w:tc>
        <w:tc>
          <w:tcPr>
            <w:tcW w:w="2023"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adjustRightInd w:val="0"/>
              <w:snapToGrid w:val="0"/>
              <w:spacing w:line="240" w:lineRule="exact"/>
              <w:rPr>
                <w:rFonts w:ascii="宋体" w:hAnsi="宋体" w:cs="Calibri"/>
                <w:bCs/>
                <w:szCs w:val="21"/>
              </w:rPr>
            </w:pPr>
            <w:r>
              <w:rPr>
                <w:rFonts w:hint="eastAsia" w:ascii="宋体" w:hAnsi="宋体"/>
                <w:bCs/>
                <w:szCs w:val="21"/>
              </w:rPr>
              <w:t>3.扎实推进工程教育认证</w:t>
            </w:r>
          </w:p>
          <w:p>
            <w:pPr>
              <w:adjustRightInd w:val="0"/>
              <w:snapToGrid w:val="0"/>
              <w:spacing w:line="240" w:lineRule="exact"/>
              <w:jc w:val="left"/>
              <w:rPr>
                <w:rFonts w:ascii="宋体" w:hAnsi="宋体"/>
                <w:bCs/>
                <w:sz w:val="24"/>
              </w:rPr>
            </w:pPr>
          </w:p>
        </w:tc>
        <w:tc>
          <w:tcPr>
            <w:tcW w:w="816"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widowControl/>
              <w:spacing w:line="480" w:lineRule="atLeast"/>
              <w:jc w:val="center"/>
              <w:rPr>
                <w:rFonts w:ascii="宋体" w:hAnsi="宋体" w:cs="宋体"/>
                <w:bCs/>
                <w:kern w:val="0"/>
                <w:sz w:val="24"/>
              </w:rPr>
            </w:pPr>
            <w:r>
              <w:rPr>
                <w:rFonts w:hint="eastAsia" w:ascii="宋体" w:hAnsi="宋体" w:cs="宋体"/>
                <w:bCs/>
                <w:kern w:val="0"/>
                <w:sz w:val="24"/>
              </w:rPr>
              <w:t>是</w:t>
            </w:r>
          </w:p>
        </w:tc>
        <w:tc>
          <w:tcPr>
            <w:tcW w:w="4531"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ind w:firstLine="420" w:firstLineChars="200"/>
              <w:rPr>
                <w:rFonts w:ascii="宋体" w:hAnsi="宋体" w:cs="宋体"/>
                <w:bCs/>
                <w:kern w:val="0"/>
                <w:szCs w:val="21"/>
              </w:rPr>
            </w:pPr>
            <w:r>
              <w:rPr>
                <w:rFonts w:hint="eastAsia" w:ascii="宋体" w:hAnsi="宋体" w:cs="宋体"/>
                <w:bCs/>
                <w:kern w:val="0"/>
                <w:szCs w:val="21"/>
              </w:rPr>
              <w:t>通过对工程教育专业认证的学习，组织各专业按专业认证要求推进专业建设，规范教学过程管理；做好水利水电工程、水文与水资源工程、工程管理三个专业的校内专业评估工作；完成水文水资源专业工程教育认证自评估报告，完成水利水电专业工程教育认证复评报告，工程管理专业为迎接2017年复评做好准备等措施扎实推进工程教育认证工作。目前，水利水电工程专业通过认证；水利水电工程专业获批湖北省普通本科高校“荆楚卓越人才”协同育人计划。</w:t>
            </w:r>
          </w:p>
        </w:tc>
        <w:tc>
          <w:tcPr>
            <w:tcW w:w="1276"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widowControl/>
              <w:spacing w:line="480" w:lineRule="atLeast"/>
              <w:jc w:val="center"/>
              <w:rPr>
                <w:rFonts w:ascii="宋体" w:hAnsi="宋体" w:cs="宋体"/>
                <w:bCs/>
                <w:kern w:val="0"/>
                <w:sz w:val="24"/>
              </w:rPr>
            </w:pPr>
            <w:r>
              <w:rPr>
                <w:rFonts w:hint="eastAsia" w:ascii="宋体" w:hAnsi="宋体" w:cs="宋体"/>
                <w:bCs/>
                <w:kern w:val="0"/>
                <w:sz w:val="24"/>
              </w:rPr>
              <w:t>无</w:t>
            </w:r>
          </w:p>
        </w:tc>
        <w:tc>
          <w:tcPr>
            <w:tcW w:w="2874"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rPr>
                <w:rFonts w:ascii="宋体" w:hAnsi="宋体" w:cs="宋体"/>
                <w:b/>
                <w:bCs/>
                <w:kern w:val="0"/>
                <w:sz w:val="24"/>
              </w:rPr>
            </w:pPr>
            <w:r>
              <w:rPr>
                <w:rFonts w:hint="eastAsia" w:ascii="宋体" w:hAnsi="宋体" w:cs="宋体"/>
                <w:bCs/>
                <w:kern w:val="0"/>
                <w:szCs w:val="21"/>
              </w:rPr>
              <w:t>有2项2014年的项目申请延期，部分正准备发表的研究成果需要再修改调整，以适应新的标准和体系。</w:t>
            </w:r>
          </w:p>
        </w:tc>
        <w:tc>
          <w:tcPr>
            <w:tcW w:w="1808" w:type="dxa"/>
            <w:tcBorders>
              <w:top w:val="single" w:color="000000" w:sz="6" w:space="0"/>
              <w:left w:val="single" w:color="000000" w:sz="6" w:space="0"/>
              <w:bottom w:val="single" w:color="000000" w:sz="6" w:space="0"/>
              <w:right w:val="single" w:color="000000" w:sz="8" w:space="0"/>
            </w:tcBorders>
            <w:tcMar>
              <w:top w:w="0" w:type="dxa"/>
              <w:left w:w="101" w:type="dxa"/>
              <w:bottom w:w="0" w:type="dxa"/>
              <w:right w:w="98" w:type="dxa"/>
            </w:tcMar>
          </w:tcPr>
          <w:p>
            <w:pPr>
              <w:widowControl/>
              <w:spacing w:line="480" w:lineRule="atLeast"/>
              <w:rPr>
                <w:rFonts w:ascii="宋体" w:hAnsi="宋体" w:cs="宋体"/>
                <w:b/>
                <w:bCs/>
                <w:kern w:val="0"/>
                <w:sz w:val="24"/>
              </w:rPr>
            </w:pPr>
          </w:p>
        </w:tc>
      </w:tr>
      <w:tr>
        <w:tblPrEx>
          <w:tblLayout w:type="fixed"/>
          <w:tblCellMar>
            <w:top w:w="0" w:type="dxa"/>
            <w:left w:w="0" w:type="dxa"/>
            <w:bottom w:w="0" w:type="dxa"/>
            <w:right w:w="0" w:type="dxa"/>
          </w:tblCellMar>
        </w:tblPrEx>
        <w:trPr>
          <w:trHeight w:val="489" w:hRule="atLeast"/>
        </w:trPr>
        <w:tc>
          <w:tcPr>
            <w:tcW w:w="730" w:type="dxa"/>
            <w:vMerge w:val="continue"/>
            <w:tcBorders>
              <w:left w:val="single" w:color="000000" w:sz="8" w:space="0"/>
              <w:right w:val="single" w:color="000000" w:sz="6" w:space="0"/>
            </w:tcBorders>
            <w:vAlign w:val="center"/>
          </w:tcPr>
          <w:p>
            <w:pPr>
              <w:widowControl/>
              <w:jc w:val="left"/>
              <w:rPr>
                <w:rFonts w:ascii="宋体" w:hAnsi="宋体" w:cs="宋体"/>
                <w:kern w:val="0"/>
                <w:sz w:val="24"/>
              </w:rPr>
            </w:pPr>
          </w:p>
        </w:tc>
        <w:tc>
          <w:tcPr>
            <w:tcW w:w="2023"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adjustRightInd w:val="0"/>
              <w:snapToGrid w:val="0"/>
              <w:spacing w:line="240" w:lineRule="exact"/>
              <w:jc w:val="left"/>
              <w:rPr>
                <w:rFonts w:ascii="宋体" w:hAnsi="宋体"/>
                <w:bCs/>
                <w:sz w:val="24"/>
              </w:rPr>
            </w:pPr>
            <w:r>
              <w:rPr>
                <w:rFonts w:hint="eastAsia" w:ascii="宋体" w:hAnsi="宋体"/>
                <w:bCs/>
                <w:szCs w:val="21"/>
              </w:rPr>
              <w:t>4.加强本科教学质量工程建设</w:t>
            </w:r>
          </w:p>
        </w:tc>
        <w:tc>
          <w:tcPr>
            <w:tcW w:w="816"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widowControl/>
              <w:spacing w:line="480" w:lineRule="atLeast"/>
              <w:jc w:val="center"/>
              <w:rPr>
                <w:rFonts w:ascii="宋体" w:hAnsi="宋体" w:cs="宋体"/>
                <w:bCs/>
                <w:kern w:val="0"/>
                <w:sz w:val="24"/>
              </w:rPr>
            </w:pPr>
            <w:r>
              <w:rPr>
                <w:rFonts w:hint="eastAsia" w:ascii="宋体" w:hAnsi="宋体" w:cs="宋体"/>
                <w:bCs/>
                <w:kern w:val="0"/>
                <w:sz w:val="24"/>
              </w:rPr>
              <w:t>是</w:t>
            </w:r>
          </w:p>
        </w:tc>
        <w:tc>
          <w:tcPr>
            <w:tcW w:w="4531"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ind w:firstLine="420" w:firstLineChars="200"/>
              <w:rPr>
                <w:rFonts w:ascii="宋体" w:hAnsi="宋体" w:cs="宋体"/>
                <w:bCs/>
                <w:kern w:val="0"/>
                <w:szCs w:val="21"/>
              </w:rPr>
            </w:pPr>
            <w:r>
              <w:rPr>
                <w:rFonts w:hint="eastAsia" w:ascii="宋体" w:hAnsi="宋体" w:cs="宋体"/>
                <w:bCs/>
                <w:kern w:val="0"/>
                <w:szCs w:val="21"/>
              </w:rPr>
              <w:t>按专业认证要求建立学院的日常教学管理模式，修订了课程教学大纲和人才培养方案，高质量通过《三峡大学学院教学工作状态年度考核体系》考核。2016年申报教研项目5项，其中1项为省级重点项目。获三峡大学教学成果一等奖2项。公开发表教研论文 29 篇，公开出版教材 4部。加强课程建设力度，培育、申报素质拓展课、线上课程、翻转课堂，促进精品视频公开课与在线开放课程的建设。拟定了校外兼职教师聘任方案，聘任校外兼职教师23人，并落实兼职教师完成教学任务。获批一项省级教学质量工程项目。实施了每月召开学工、教学联席会议制度；组织开展四、六级英语考试培训和模拟考试，加强一加一帮扶力度。2016年获省级及以上学科竞赛奖</w:t>
            </w:r>
            <w:r>
              <w:rPr>
                <w:rFonts w:ascii="宋体" w:hAnsi="宋体" w:cs="宋体"/>
                <w:bCs/>
                <w:kern w:val="0"/>
                <w:szCs w:val="21"/>
              </w:rPr>
              <w:t>31</w:t>
            </w:r>
            <w:r>
              <w:rPr>
                <w:rFonts w:hint="eastAsia" w:ascii="宋体" w:hAnsi="宋体" w:cs="宋体"/>
                <w:bCs/>
                <w:kern w:val="0"/>
                <w:szCs w:val="21"/>
              </w:rPr>
              <w:t>项，其中国家级一等奖</w:t>
            </w:r>
            <w:r>
              <w:rPr>
                <w:rFonts w:ascii="宋体" w:hAnsi="宋体" w:cs="宋体"/>
                <w:bCs/>
                <w:kern w:val="0"/>
                <w:szCs w:val="21"/>
              </w:rPr>
              <w:t>5</w:t>
            </w:r>
            <w:r>
              <w:rPr>
                <w:rFonts w:hint="eastAsia" w:ascii="宋体" w:hAnsi="宋体" w:cs="宋体"/>
                <w:bCs/>
                <w:kern w:val="0"/>
                <w:szCs w:val="21"/>
              </w:rPr>
              <w:t>项、二等奖</w:t>
            </w:r>
            <w:r>
              <w:rPr>
                <w:rFonts w:ascii="宋体" w:hAnsi="宋体" w:cs="宋体"/>
                <w:bCs/>
                <w:kern w:val="0"/>
                <w:szCs w:val="21"/>
              </w:rPr>
              <w:t>11</w:t>
            </w:r>
            <w:r>
              <w:rPr>
                <w:rFonts w:hint="eastAsia" w:ascii="宋体" w:hAnsi="宋体" w:cs="宋体"/>
                <w:bCs/>
                <w:kern w:val="0"/>
                <w:szCs w:val="21"/>
              </w:rPr>
              <w:t>项、三等奖</w:t>
            </w:r>
            <w:r>
              <w:rPr>
                <w:rFonts w:ascii="宋体" w:hAnsi="宋体" w:cs="宋体"/>
                <w:bCs/>
                <w:kern w:val="0"/>
                <w:szCs w:val="21"/>
              </w:rPr>
              <w:t>11</w:t>
            </w:r>
            <w:r>
              <w:rPr>
                <w:rFonts w:hint="eastAsia" w:ascii="宋体" w:hAnsi="宋体" w:cs="宋体"/>
                <w:bCs/>
                <w:kern w:val="0"/>
                <w:szCs w:val="21"/>
              </w:rPr>
              <w:t>项、水利水电工程专业通过专业认证。完成了水利水电工程、水文与水资源工程两个专业的校内专业认证的自评估报告。水利水电工程、水文与水资源工程、工程管理3个专业的认证和评估申请通过各自专业委员会的审查，被受理申请，目前正在撰写自评估报告。</w:t>
            </w:r>
          </w:p>
        </w:tc>
        <w:tc>
          <w:tcPr>
            <w:tcW w:w="1276"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widowControl/>
              <w:spacing w:line="480" w:lineRule="atLeast"/>
              <w:jc w:val="center"/>
              <w:rPr>
                <w:rFonts w:ascii="宋体" w:hAnsi="宋体" w:cs="宋体"/>
                <w:bCs/>
                <w:kern w:val="0"/>
                <w:sz w:val="24"/>
              </w:rPr>
            </w:pPr>
            <w:r>
              <w:rPr>
                <w:rFonts w:hint="eastAsia" w:ascii="宋体" w:hAnsi="宋体" w:cs="宋体"/>
                <w:bCs/>
                <w:kern w:val="0"/>
                <w:sz w:val="24"/>
              </w:rPr>
              <w:t>无</w:t>
            </w:r>
          </w:p>
        </w:tc>
        <w:tc>
          <w:tcPr>
            <w:tcW w:w="2874"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rPr>
                <w:rFonts w:ascii="宋体" w:hAnsi="宋体" w:cs="宋体"/>
                <w:b/>
                <w:bCs/>
                <w:kern w:val="0"/>
                <w:sz w:val="24"/>
              </w:rPr>
            </w:pPr>
            <w:r>
              <w:rPr>
                <w:rFonts w:hint="eastAsia" w:ascii="宋体" w:hAnsi="宋体" w:cs="宋体"/>
                <w:b/>
                <w:bCs/>
                <w:kern w:val="0"/>
                <w:sz w:val="24"/>
              </w:rPr>
              <w:t> </w:t>
            </w:r>
            <w:r>
              <w:rPr>
                <w:rFonts w:hint="eastAsia" w:ascii="宋体" w:hAnsi="宋体" w:cs="宋体"/>
                <w:bCs/>
                <w:kern w:val="0"/>
                <w:szCs w:val="21"/>
              </w:rPr>
              <w:t>为本专业上课的教师结合专业认证的理念配合专业开展相关工作等的协调缺乏在全校联动. 质量工程申报时，整理材料的时间很短。</w:t>
            </w:r>
          </w:p>
        </w:tc>
        <w:tc>
          <w:tcPr>
            <w:tcW w:w="1808" w:type="dxa"/>
            <w:tcBorders>
              <w:top w:val="single" w:color="000000" w:sz="6" w:space="0"/>
              <w:left w:val="single" w:color="000000" w:sz="6" w:space="0"/>
              <w:bottom w:val="single" w:color="000000" w:sz="6" w:space="0"/>
              <w:right w:val="single" w:color="000000" w:sz="8" w:space="0"/>
            </w:tcBorders>
            <w:tcMar>
              <w:top w:w="0" w:type="dxa"/>
              <w:left w:w="101" w:type="dxa"/>
              <w:bottom w:w="0" w:type="dxa"/>
              <w:right w:w="98" w:type="dxa"/>
            </w:tcMar>
          </w:tcPr>
          <w:p>
            <w:pPr>
              <w:widowControl/>
              <w:spacing w:line="480" w:lineRule="atLeast"/>
              <w:rPr>
                <w:rFonts w:ascii="宋体" w:hAnsi="宋体" w:cs="宋体"/>
                <w:b/>
                <w:bCs/>
                <w:kern w:val="0"/>
                <w:sz w:val="24"/>
              </w:rPr>
            </w:pPr>
          </w:p>
        </w:tc>
      </w:tr>
      <w:tr>
        <w:tblPrEx>
          <w:tblLayout w:type="fixed"/>
          <w:tblCellMar>
            <w:top w:w="0" w:type="dxa"/>
            <w:left w:w="0" w:type="dxa"/>
            <w:bottom w:w="0" w:type="dxa"/>
            <w:right w:w="0" w:type="dxa"/>
          </w:tblCellMar>
        </w:tblPrEx>
        <w:trPr>
          <w:trHeight w:val="489" w:hRule="atLeast"/>
        </w:trPr>
        <w:tc>
          <w:tcPr>
            <w:tcW w:w="730" w:type="dxa"/>
            <w:vMerge w:val="continue"/>
            <w:tcBorders>
              <w:left w:val="single" w:color="000000" w:sz="8" w:space="0"/>
              <w:right w:val="single" w:color="000000" w:sz="6" w:space="0"/>
            </w:tcBorders>
            <w:vAlign w:val="center"/>
          </w:tcPr>
          <w:p>
            <w:pPr>
              <w:widowControl/>
              <w:jc w:val="left"/>
              <w:rPr>
                <w:rFonts w:ascii="宋体" w:hAnsi="宋体" w:cs="宋体"/>
                <w:kern w:val="0"/>
                <w:sz w:val="24"/>
              </w:rPr>
            </w:pPr>
          </w:p>
        </w:tc>
        <w:tc>
          <w:tcPr>
            <w:tcW w:w="2023"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adjustRightInd w:val="0"/>
              <w:snapToGrid w:val="0"/>
              <w:spacing w:line="240" w:lineRule="exact"/>
              <w:rPr>
                <w:rFonts w:ascii="宋体" w:hAnsi="宋体"/>
                <w:bCs/>
                <w:szCs w:val="21"/>
              </w:rPr>
            </w:pPr>
            <w:r>
              <w:rPr>
                <w:rFonts w:hint="eastAsia" w:ascii="宋体" w:hAnsi="宋体"/>
                <w:bCs/>
                <w:szCs w:val="21"/>
              </w:rPr>
              <w:t>5.做好大学生思想政治教育与日常管理</w:t>
            </w:r>
          </w:p>
        </w:tc>
        <w:tc>
          <w:tcPr>
            <w:tcW w:w="816"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jc w:val="center"/>
              <w:rPr>
                <w:rFonts w:ascii="宋体" w:hAnsi="宋体" w:cs="宋体"/>
                <w:bCs/>
                <w:kern w:val="0"/>
                <w:szCs w:val="21"/>
              </w:rPr>
            </w:pPr>
            <w:r>
              <w:rPr>
                <w:rFonts w:hint="eastAsia" w:ascii="宋体" w:hAnsi="宋体" w:cs="宋体"/>
                <w:bCs/>
                <w:kern w:val="0"/>
                <w:szCs w:val="21"/>
              </w:rPr>
              <w:t>是</w:t>
            </w:r>
          </w:p>
        </w:tc>
        <w:tc>
          <w:tcPr>
            <w:tcW w:w="4531"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rPr>
                <w:rFonts w:ascii="宋体" w:hAnsi="宋体" w:cs="宋体"/>
                <w:bCs/>
                <w:kern w:val="0"/>
                <w:szCs w:val="21"/>
              </w:rPr>
            </w:pPr>
            <w:r>
              <w:rPr>
                <w:rFonts w:hint="eastAsia" w:ascii="宋体" w:hAnsi="宋体" w:cs="宋体"/>
                <w:bCs/>
                <w:kern w:val="0"/>
                <w:szCs w:val="21"/>
              </w:rPr>
              <w:t>学院大学生思想政治教育与日常管理工作稳定有序，全年未发生重大安全责任事故。2016年学院学生工作目标管理考核被评为先进单位。</w:t>
            </w:r>
          </w:p>
        </w:tc>
        <w:tc>
          <w:tcPr>
            <w:tcW w:w="1276"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widowControl/>
              <w:spacing w:line="480" w:lineRule="atLeast"/>
              <w:jc w:val="center"/>
              <w:rPr>
                <w:rFonts w:ascii="宋体" w:hAnsi="宋体" w:cs="宋体"/>
                <w:bCs/>
                <w:kern w:val="0"/>
                <w:sz w:val="24"/>
              </w:rPr>
            </w:pPr>
            <w:r>
              <w:rPr>
                <w:rFonts w:hint="eastAsia" w:ascii="宋体" w:hAnsi="宋体" w:cs="宋体"/>
                <w:bCs/>
                <w:kern w:val="0"/>
                <w:sz w:val="24"/>
              </w:rPr>
              <w:t>无</w:t>
            </w:r>
          </w:p>
        </w:tc>
        <w:tc>
          <w:tcPr>
            <w:tcW w:w="2874"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rPr>
                <w:rFonts w:ascii="宋体" w:hAnsi="宋体" w:cs="宋体"/>
                <w:b/>
                <w:bCs/>
                <w:kern w:val="0"/>
                <w:sz w:val="24"/>
              </w:rPr>
            </w:pPr>
          </w:p>
        </w:tc>
        <w:tc>
          <w:tcPr>
            <w:tcW w:w="1808" w:type="dxa"/>
            <w:tcBorders>
              <w:top w:val="single" w:color="000000" w:sz="6" w:space="0"/>
              <w:left w:val="single" w:color="000000" w:sz="6" w:space="0"/>
              <w:bottom w:val="single" w:color="000000" w:sz="6" w:space="0"/>
              <w:right w:val="single" w:color="000000" w:sz="8" w:space="0"/>
            </w:tcBorders>
            <w:tcMar>
              <w:top w:w="0" w:type="dxa"/>
              <w:left w:w="101" w:type="dxa"/>
              <w:bottom w:w="0" w:type="dxa"/>
              <w:right w:w="98" w:type="dxa"/>
            </w:tcMar>
          </w:tcPr>
          <w:p>
            <w:pPr>
              <w:widowControl/>
              <w:spacing w:line="480" w:lineRule="atLeast"/>
              <w:rPr>
                <w:rFonts w:ascii="宋体" w:hAnsi="宋体" w:cs="宋体"/>
                <w:b/>
                <w:bCs/>
                <w:kern w:val="0"/>
                <w:sz w:val="24"/>
              </w:rPr>
            </w:pPr>
          </w:p>
        </w:tc>
      </w:tr>
      <w:tr>
        <w:tblPrEx>
          <w:tblLayout w:type="fixed"/>
          <w:tblCellMar>
            <w:top w:w="0" w:type="dxa"/>
            <w:left w:w="0" w:type="dxa"/>
            <w:bottom w:w="0" w:type="dxa"/>
            <w:right w:w="0" w:type="dxa"/>
          </w:tblCellMar>
        </w:tblPrEx>
        <w:trPr>
          <w:trHeight w:val="489" w:hRule="atLeast"/>
        </w:trPr>
        <w:tc>
          <w:tcPr>
            <w:tcW w:w="730" w:type="dxa"/>
            <w:vMerge w:val="continue"/>
            <w:tcBorders>
              <w:left w:val="single" w:color="000000" w:sz="8" w:space="0"/>
              <w:right w:val="single" w:color="000000" w:sz="6" w:space="0"/>
            </w:tcBorders>
            <w:vAlign w:val="center"/>
          </w:tcPr>
          <w:p>
            <w:pPr>
              <w:widowControl/>
              <w:jc w:val="left"/>
              <w:rPr>
                <w:rFonts w:ascii="宋体" w:hAnsi="宋体" w:cs="宋体"/>
                <w:kern w:val="0"/>
                <w:sz w:val="24"/>
              </w:rPr>
            </w:pPr>
          </w:p>
        </w:tc>
        <w:tc>
          <w:tcPr>
            <w:tcW w:w="2023"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adjustRightInd w:val="0"/>
              <w:snapToGrid w:val="0"/>
              <w:spacing w:line="240" w:lineRule="exact"/>
              <w:rPr>
                <w:rFonts w:ascii="宋体" w:hAnsi="宋体"/>
                <w:bCs/>
                <w:szCs w:val="21"/>
              </w:rPr>
            </w:pPr>
            <w:r>
              <w:rPr>
                <w:rFonts w:hint="eastAsia" w:ascii="宋体" w:hAnsi="宋体"/>
                <w:bCs/>
                <w:szCs w:val="21"/>
              </w:rPr>
              <w:t>6.做好招生与毕业生就业工作</w:t>
            </w:r>
          </w:p>
        </w:tc>
        <w:tc>
          <w:tcPr>
            <w:tcW w:w="816"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widowControl/>
              <w:spacing w:line="480" w:lineRule="atLeast"/>
              <w:jc w:val="center"/>
              <w:rPr>
                <w:rFonts w:ascii="宋体" w:hAnsi="宋体" w:cs="宋体"/>
                <w:bCs/>
                <w:kern w:val="0"/>
                <w:sz w:val="24"/>
              </w:rPr>
            </w:pPr>
            <w:r>
              <w:rPr>
                <w:rFonts w:hint="eastAsia" w:ascii="宋体" w:hAnsi="宋体" w:cs="宋体"/>
                <w:bCs/>
                <w:kern w:val="0"/>
                <w:sz w:val="24"/>
              </w:rPr>
              <w:t>是</w:t>
            </w:r>
          </w:p>
        </w:tc>
        <w:tc>
          <w:tcPr>
            <w:tcW w:w="4531"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rPr>
                <w:rFonts w:ascii="宋体" w:hAnsi="宋体" w:cs="宋体"/>
                <w:bCs/>
                <w:kern w:val="0"/>
                <w:szCs w:val="21"/>
              </w:rPr>
            </w:pPr>
            <w:r>
              <w:rPr>
                <w:rFonts w:hint="eastAsia" w:ascii="宋体" w:hAnsi="宋体" w:cs="宋体"/>
                <w:bCs/>
                <w:kern w:val="0"/>
                <w:szCs w:val="21"/>
              </w:rPr>
              <w:t>2016年我院划定片区贵州省新增5个示范中学优质生源基地，录取分数线稳步增长。本科学生就业率达95.82%，签约率达95.68%。</w:t>
            </w:r>
          </w:p>
        </w:tc>
        <w:tc>
          <w:tcPr>
            <w:tcW w:w="1276"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widowControl/>
              <w:spacing w:line="480" w:lineRule="atLeast"/>
              <w:jc w:val="center"/>
              <w:rPr>
                <w:rFonts w:ascii="宋体" w:hAnsi="宋体" w:cs="宋体"/>
                <w:bCs/>
                <w:kern w:val="0"/>
                <w:sz w:val="24"/>
              </w:rPr>
            </w:pPr>
            <w:r>
              <w:rPr>
                <w:rFonts w:hint="eastAsia" w:ascii="宋体" w:hAnsi="宋体" w:cs="宋体"/>
                <w:bCs/>
                <w:kern w:val="0"/>
                <w:sz w:val="24"/>
              </w:rPr>
              <w:t>无</w:t>
            </w:r>
          </w:p>
        </w:tc>
        <w:tc>
          <w:tcPr>
            <w:tcW w:w="2874"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rPr>
                <w:rFonts w:ascii="宋体" w:hAnsi="宋体" w:cs="宋体"/>
                <w:b/>
                <w:bCs/>
                <w:kern w:val="0"/>
                <w:sz w:val="24"/>
              </w:rPr>
            </w:pPr>
          </w:p>
        </w:tc>
        <w:tc>
          <w:tcPr>
            <w:tcW w:w="1808" w:type="dxa"/>
            <w:tcBorders>
              <w:top w:val="single" w:color="000000" w:sz="6" w:space="0"/>
              <w:left w:val="single" w:color="000000" w:sz="6" w:space="0"/>
              <w:bottom w:val="single" w:color="000000" w:sz="6" w:space="0"/>
              <w:right w:val="single" w:color="000000" w:sz="8" w:space="0"/>
            </w:tcBorders>
            <w:tcMar>
              <w:top w:w="0" w:type="dxa"/>
              <w:left w:w="101" w:type="dxa"/>
              <w:bottom w:w="0" w:type="dxa"/>
              <w:right w:w="98" w:type="dxa"/>
            </w:tcMar>
          </w:tcPr>
          <w:p>
            <w:pPr>
              <w:widowControl/>
              <w:spacing w:line="480" w:lineRule="atLeast"/>
              <w:rPr>
                <w:rFonts w:ascii="宋体" w:hAnsi="宋体" w:cs="宋体"/>
                <w:b/>
                <w:bCs/>
                <w:kern w:val="0"/>
                <w:sz w:val="24"/>
              </w:rPr>
            </w:pPr>
          </w:p>
        </w:tc>
      </w:tr>
      <w:tr>
        <w:tblPrEx>
          <w:tblLayout w:type="fixed"/>
          <w:tblCellMar>
            <w:top w:w="0" w:type="dxa"/>
            <w:left w:w="0" w:type="dxa"/>
            <w:bottom w:w="0" w:type="dxa"/>
            <w:right w:w="0" w:type="dxa"/>
          </w:tblCellMar>
        </w:tblPrEx>
        <w:trPr>
          <w:trHeight w:val="489" w:hRule="atLeast"/>
        </w:trPr>
        <w:tc>
          <w:tcPr>
            <w:tcW w:w="730" w:type="dxa"/>
            <w:vMerge w:val="continue"/>
            <w:tcBorders>
              <w:left w:val="single" w:color="000000" w:sz="8" w:space="0"/>
              <w:right w:val="single" w:color="000000" w:sz="6" w:space="0"/>
            </w:tcBorders>
            <w:vAlign w:val="center"/>
          </w:tcPr>
          <w:p>
            <w:pPr>
              <w:widowControl/>
              <w:jc w:val="left"/>
              <w:rPr>
                <w:rFonts w:ascii="宋体" w:hAnsi="宋体" w:cs="宋体"/>
                <w:kern w:val="0"/>
                <w:sz w:val="24"/>
              </w:rPr>
            </w:pPr>
          </w:p>
        </w:tc>
        <w:tc>
          <w:tcPr>
            <w:tcW w:w="2023"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adjustRightInd w:val="0"/>
              <w:snapToGrid w:val="0"/>
              <w:spacing w:line="240" w:lineRule="exact"/>
              <w:jc w:val="left"/>
              <w:rPr>
                <w:rFonts w:ascii="宋体" w:hAnsi="宋体"/>
                <w:bCs/>
                <w:sz w:val="24"/>
              </w:rPr>
            </w:pPr>
            <w:r>
              <w:rPr>
                <w:rFonts w:hint="eastAsia" w:ascii="宋体" w:hAnsi="宋体" w:cs="宋体"/>
                <w:bCs/>
                <w:szCs w:val="21"/>
              </w:rPr>
              <w:t>7.提高研究生培养质量</w:t>
            </w:r>
          </w:p>
        </w:tc>
        <w:tc>
          <w:tcPr>
            <w:tcW w:w="816"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widowControl/>
              <w:spacing w:line="480" w:lineRule="atLeast"/>
              <w:jc w:val="center"/>
              <w:rPr>
                <w:rFonts w:ascii="宋体" w:hAnsi="宋体" w:cs="宋体"/>
                <w:bCs/>
                <w:kern w:val="0"/>
                <w:sz w:val="24"/>
              </w:rPr>
            </w:pPr>
            <w:r>
              <w:rPr>
                <w:rFonts w:hint="eastAsia" w:ascii="宋体" w:hAnsi="宋体" w:cs="宋体"/>
                <w:bCs/>
                <w:kern w:val="0"/>
                <w:sz w:val="24"/>
              </w:rPr>
              <w:t>是</w:t>
            </w:r>
          </w:p>
        </w:tc>
        <w:tc>
          <w:tcPr>
            <w:tcW w:w="4531"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snapToGrid w:val="0"/>
              <w:ind w:firstLine="420" w:firstLineChars="200"/>
              <w:rPr>
                <w:rFonts w:ascii="宋体" w:hAnsi="宋体" w:cs="宋体"/>
                <w:bCs/>
                <w:kern w:val="0"/>
                <w:szCs w:val="21"/>
              </w:rPr>
            </w:pPr>
            <w:r>
              <w:rPr>
                <w:rFonts w:hint="eastAsia" w:ascii="宋体" w:hAnsi="宋体" w:cs="宋体"/>
                <w:bCs/>
                <w:kern w:val="0"/>
                <w:szCs w:val="21"/>
              </w:rPr>
              <w:t>启动了校内本硕贯通培养试点工作，制定了《三峡大学水利与环境学院本硕贯通培养实施方案》。完善研究生培养方案的制定和修订工作，聘任学院视导组专家，加强了研究生教学质量监控，对研究生开题、中期考核、预答辩和毕业答辩等环节采取学院统一分组集中进行。做好了导师上岗遴选、培训工作，2016年学院12名老师获批硕导资格，6名教师获批博导资格。优化导师指导体系，积极倡导集体指导制，研究生教学管理进一步规范，人才培养质量稳步提升。</w:t>
            </w:r>
          </w:p>
        </w:tc>
        <w:tc>
          <w:tcPr>
            <w:tcW w:w="1276"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widowControl/>
              <w:spacing w:line="480" w:lineRule="atLeast"/>
              <w:jc w:val="center"/>
              <w:rPr>
                <w:rFonts w:ascii="宋体" w:hAnsi="宋体" w:cs="宋体"/>
                <w:bCs/>
                <w:kern w:val="0"/>
                <w:sz w:val="24"/>
              </w:rPr>
            </w:pPr>
            <w:r>
              <w:rPr>
                <w:rFonts w:hint="eastAsia" w:ascii="宋体" w:hAnsi="宋体" w:cs="宋体"/>
                <w:bCs/>
                <w:kern w:val="0"/>
                <w:sz w:val="24"/>
              </w:rPr>
              <w:t>无</w:t>
            </w:r>
          </w:p>
        </w:tc>
        <w:tc>
          <w:tcPr>
            <w:tcW w:w="2874"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rPr>
                <w:rFonts w:ascii="宋体" w:hAnsi="宋体" w:cs="宋体"/>
                <w:b/>
                <w:bCs/>
                <w:kern w:val="0"/>
                <w:sz w:val="24"/>
              </w:rPr>
            </w:pPr>
          </w:p>
        </w:tc>
        <w:tc>
          <w:tcPr>
            <w:tcW w:w="1808" w:type="dxa"/>
            <w:tcBorders>
              <w:top w:val="single" w:color="000000" w:sz="6" w:space="0"/>
              <w:left w:val="single" w:color="000000" w:sz="6" w:space="0"/>
              <w:bottom w:val="single" w:color="000000" w:sz="6" w:space="0"/>
              <w:right w:val="single" w:color="000000" w:sz="8" w:space="0"/>
            </w:tcBorders>
            <w:tcMar>
              <w:top w:w="0" w:type="dxa"/>
              <w:left w:w="101" w:type="dxa"/>
              <w:bottom w:w="0" w:type="dxa"/>
              <w:right w:w="98" w:type="dxa"/>
            </w:tcMar>
          </w:tcPr>
          <w:p>
            <w:pPr>
              <w:widowControl/>
              <w:spacing w:line="480" w:lineRule="atLeast"/>
              <w:rPr>
                <w:rFonts w:ascii="宋体" w:hAnsi="宋体" w:cs="宋体"/>
                <w:b/>
                <w:bCs/>
                <w:kern w:val="0"/>
                <w:sz w:val="24"/>
              </w:rPr>
            </w:pPr>
          </w:p>
        </w:tc>
      </w:tr>
      <w:tr>
        <w:tblPrEx>
          <w:tblLayout w:type="fixed"/>
          <w:tblCellMar>
            <w:top w:w="0" w:type="dxa"/>
            <w:left w:w="0" w:type="dxa"/>
            <w:bottom w:w="0" w:type="dxa"/>
            <w:right w:w="0" w:type="dxa"/>
          </w:tblCellMar>
        </w:tblPrEx>
        <w:trPr>
          <w:trHeight w:val="489" w:hRule="atLeast"/>
        </w:trPr>
        <w:tc>
          <w:tcPr>
            <w:tcW w:w="730" w:type="dxa"/>
            <w:vMerge w:val="continue"/>
            <w:tcBorders>
              <w:left w:val="single" w:color="000000" w:sz="8" w:space="0"/>
              <w:right w:val="single" w:color="000000" w:sz="6" w:space="0"/>
            </w:tcBorders>
            <w:vAlign w:val="center"/>
          </w:tcPr>
          <w:p>
            <w:pPr>
              <w:widowControl/>
              <w:jc w:val="left"/>
              <w:rPr>
                <w:rFonts w:ascii="宋体" w:hAnsi="宋体" w:cs="宋体"/>
                <w:kern w:val="0"/>
                <w:sz w:val="24"/>
              </w:rPr>
            </w:pPr>
          </w:p>
        </w:tc>
        <w:tc>
          <w:tcPr>
            <w:tcW w:w="2023"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adjustRightInd w:val="0"/>
              <w:snapToGrid w:val="0"/>
              <w:spacing w:line="240" w:lineRule="exact"/>
              <w:jc w:val="left"/>
              <w:rPr>
                <w:rFonts w:ascii="宋体" w:hAnsi="宋体"/>
                <w:bCs/>
                <w:sz w:val="24"/>
              </w:rPr>
            </w:pPr>
            <w:r>
              <w:rPr>
                <w:rFonts w:hint="eastAsia" w:ascii="宋体" w:hAnsi="宋体" w:cs="Calibri"/>
                <w:bCs/>
                <w:szCs w:val="21"/>
              </w:rPr>
              <w:t>8.科技创新与社会服务能力提升</w:t>
            </w:r>
          </w:p>
        </w:tc>
        <w:tc>
          <w:tcPr>
            <w:tcW w:w="816"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widowControl/>
              <w:spacing w:line="480" w:lineRule="atLeast"/>
              <w:jc w:val="center"/>
              <w:rPr>
                <w:rFonts w:ascii="宋体" w:hAnsi="宋体" w:cs="宋体"/>
                <w:bCs/>
                <w:kern w:val="0"/>
                <w:sz w:val="24"/>
              </w:rPr>
            </w:pPr>
            <w:r>
              <w:rPr>
                <w:rFonts w:hint="eastAsia" w:ascii="宋体" w:hAnsi="宋体" w:cs="宋体"/>
                <w:bCs/>
                <w:kern w:val="0"/>
                <w:sz w:val="24"/>
              </w:rPr>
              <w:t>是</w:t>
            </w:r>
          </w:p>
        </w:tc>
        <w:tc>
          <w:tcPr>
            <w:tcW w:w="4531"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widowControl/>
              <w:jc w:val="left"/>
              <w:rPr>
                <w:rFonts w:ascii="宋体" w:hAnsi="宋体" w:cs="宋体"/>
                <w:bCs/>
                <w:kern w:val="0"/>
                <w:szCs w:val="21"/>
              </w:rPr>
            </w:pPr>
            <w:r>
              <w:rPr>
                <w:rFonts w:hint="eastAsia" w:ascii="宋体" w:hAnsi="宋体" w:cs="宋体"/>
                <w:bCs/>
                <w:kern w:val="0"/>
                <w:szCs w:val="21"/>
              </w:rPr>
              <w:t xml:space="preserve">    组织国家基金等重大项目的选题及立项申报论证、辅导报告、经验交流与座谈等推进会；完善学术交流制度，建立溯源论坛交流平台。结合水利环境等行业、及地方经济社会发展的重大需求，组织开展科技成果转化与推广。召开2011协同创新PI交流会，加强了科研基地与科技平台建设。学院科技队伍的科研实力得到了进一步加强，学术氛围更加浓郁，促进了教师间科研合作与学科发展，与行业企业联系更加紧密。 </w:t>
            </w:r>
          </w:p>
        </w:tc>
        <w:tc>
          <w:tcPr>
            <w:tcW w:w="1276"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widowControl/>
              <w:spacing w:line="480" w:lineRule="atLeast"/>
              <w:jc w:val="center"/>
              <w:rPr>
                <w:rFonts w:ascii="宋体" w:hAnsi="宋体" w:cs="宋体"/>
                <w:bCs/>
                <w:kern w:val="0"/>
                <w:sz w:val="24"/>
              </w:rPr>
            </w:pPr>
            <w:r>
              <w:rPr>
                <w:rFonts w:hint="eastAsia" w:ascii="宋体" w:hAnsi="宋体" w:cs="宋体"/>
                <w:bCs/>
                <w:kern w:val="0"/>
                <w:sz w:val="24"/>
              </w:rPr>
              <w:t>无</w:t>
            </w:r>
          </w:p>
        </w:tc>
        <w:tc>
          <w:tcPr>
            <w:tcW w:w="2874"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rPr>
                <w:rFonts w:ascii="宋体" w:hAnsi="宋体" w:cs="宋体"/>
                <w:b/>
                <w:bCs/>
                <w:kern w:val="0"/>
                <w:sz w:val="24"/>
              </w:rPr>
            </w:pPr>
          </w:p>
        </w:tc>
        <w:tc>
          <w:tcPr>
            <w:tcW w:w="1808" w:type="dxa"/>
            <w:tcBorders>
              <w:top w:val="single" w:color="000000" w:sz="6" w:space="0"/>
              <w:left w:val="single" w:color="000000" w:sz="6" w:space="0"/>
              <w:bottom w:val="single" w:color="000000" w:sz="6" w:space="0"/>
              <w:right w:val="single" w:color="000000" w:sz="8" w:space="0"/>
            </w:tcBorders>
            <w:tcMar>
              <w:top w:w="0" w:type="dxa"/>
              <w:left w:w="101" w:type="dxa"/>
              <w:bottom w:w="0" w:type="dxa"/>
              <w:right w:w="98" w:type="dxa"/>
            </w:tcMar>
          </w:tcPr>
          <w:p>
            <w:pPr>
              <w:widowControl/>
              <w:spacing w:line="480" w:lineRule="atLeast"/>
              <w:rPr>
                <w:rFonts w:ascii="宋体" w:hAnsi="宋体" w:cs="宋体"/>
                <w:b/>
                <w:bCs/>
                <w:kern w:val="0"/>
                <w:sz w:val="24"/>
              </w:rPr>
            </w:pPr>
          </w:p>
        </w:tc>
      </w:tr>
      <w:tr>
        <w:tblPrEx>
          <w:tblLayout w:type="fixed"/>
          <w:tblCellMar>
            <w:top w:w="0" w:type="dxa"/>
            <w:left w:w="0" w:type="dxa"/>
            <w:bottom w:w="0" w:type="dxa"/>
            <w:right w:w="0" w:type="dxa"/>
          </w:tblCellMar>
        </w:tblPrEx>
        <w:trPr>
          <w:trHeight w:val="489" w:hRule="atLeast"/>
        </w:trPr>
        <w:tc>
          <w:tcPr>
            <w:tcW w:w="730" w:type="dxa"/>
            <w:vMerge w:val="continue"/>
            <w:tcBorders>
              <w:left w:val="single" w:color="000000" w:sz="8" w:space="0"/>
              <w:bottom w:val="single" w:color="000000" w:sz="8" w:space="0"/>
              <w:right w:val="single" w:color="000000" w:sz="6" w:space="0"/>
            </w:tcBorders>
            <w:vAlign w:val="center"/>
          </w:tcPr>
          <w:p>
            <w:pPr>
              <w:widowControl/>
              <w:jc w:val="left"/>
              <w:rPr>
                <w:rFonts w:ascii="宋体" w:hAnsi="宋体" w:cs="宋体"/>
                <w:kern w:val="0"/>
                <w:sz w:val="24"/>
              </w:rPr>
            </w:pPr>
          </w:p>
        </w:tc>
        <w:tc>
          <w:tcPr>
            <w:tcW w:w="2023"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adjustRightInd w:val="0"/>
              <w:snapToGrid w:val="0"/>
              <w:spacing w:line="240" w:lineRule="exact"/>
              <w:jc w:val="left"/>
              <w:rPr>
                <w:rFonts w:ascii="宋体" w:hAnsi="宋体"/>
                <w:bCs/>
                <w:sz w:val="24"/>
              </w:rPr>
            </w:pPr>
            <w:r>
              <w:rPr>
                <w:rFonts w:hint="eastAsia" w:ascii="宋体" w:hAnsi="宋体" w:cs="Calibri"/>
                <w:bCs/>
                <w:szCs w:val="21"/>
              </w:rPr>
              <w:t>9.扩大对外交流与合作</w:t>
            </w:r>
          </w:p>
        </w:tc>
        <w:tc>
          <w:tcPr>
            <w:tcW w:w="816"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widowControl/>
              <w:spacing w:line="480" w:lineRule="atLeast"/>
              <w:jc w:val="center"/>
              <w:rPr>
                <w:rFonts w:ascii="宋体" w:hAnsi="宋体" w:cs="宋体"/>
                <w:bCs/>
                <w:kern w:val="0"/>
                <w:sz w:val="24"/>
              </w:rPr>
            </w:pPr>
            <w:r>
              <w:rPr>
                <w:rFonts w:hint="eastAsia" w:ascii="宋体" w:hAnsi="宋体" w:cs="宋体"/>
                <w:bCs/>
                <w:kern w:val="0"/>
                <w:sz w:val="24"/>
              </w:rPr>
              <w:t>是</w:t>
            </w:r>
          </w:p>
        </w:tc>
        <w:tc>
          <w:tcPr>
            <w:tcW w:w="4531"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ind w:firstLine="420" w:firstLineChars="200"/>
              <w:rPr>
                <w:rFonts w:ascii="宋体" w:hAnsi="宋体" w:cs="宋体"/>
                <w:bCs/>
                <w:kern w:val="0"/>
                <w:szCs w:val="21"/>
              </w:rPr>
            </w:pPr>
            <w:r>
              <w:rPr>
                <w:rFonts w:hint="eastAsia" w:ascii="宋体" w:hAnsi="宋体" w:cs="宋体"/>
                <w:bCs/>
                <w:kern w:val="0"/>
                <w:szCs w:val="21"/>
              </w:rPr>
              <w:t>组织青年教师参加英语培训及海外研修，参与来华留学质量认证，开展留学生教学研究与教改，组织特色跨文化交流活动和积极参与国际合作与交流处组织的各项活动，培养了留学生的中国情结；积极引进国/境外高层次专家来访交流，洽谈科研合作，联合指导研究生。积极做好留学生招生工作，提升了留学生教育的规模和质量，并进一步推进了学院本土办学的国际化。我院已形成了水利工程专业“本科-硕士-博士”全学历层次的来华留学人才培养体系，留学生教育规模稳步增长。目前学院留学生规模已增至69人。</w:t>
            </w:r>
          </w:p>
        </w:tc>
        <w:tc>
          <w:tcPr>
            <w:tcW w:w="1276"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widowControl/>
              <w:spacing w:line="480" w:lineRule="atLeast"/>
              <w:jc w:val="center"/>
              <w:rPr>
                <w:rFonts w:ascii="宋体" w:hAnsi="宋体" w:cs="宋体"/>
                <w:bCs/>
                <w:kern w:val="0"/>
                <w:sz w:val="24"/>
              </w:rPr>
            </w:pPr>
            <w:r>
              <w:rPr>
                <w:rFonts w:hint="eastAsia" w:ascii="宋体" w:hAnsi="宋体" w:cs="宋体"/>
                <w:bCs/>
                <w:kern w:val="0"/>
                <w:sz w:val="24"/>
              </w:rPr>
              <w:t>无</w:t>
            </w:r>
          </w:p>
        </w:tc>
        <w:tc>
          <w:tcPr>
            <w:tcW w:w="2874" w:type="dxa"/>
            <w:tcBorders>
              <w:top w:val="single" w:color="000000" w:sz="6" w:space="0"/>
              <w:left w:val="single" w:color="000000" w:sz="6" w:space="0"/>
              <w:bottom w:val="single" w:color="000000" w:sz="6" w:space="0"/>
              <w:right w:val="single" w:color="000000" w:sz="6" w:space="0"/>
            </w:tcBorders>
            <w:tcMar>
              <w:top w:w="0" w:type="dxa"/>
              <w:left w:w="101" w:type="dxa"/>
              <w:bottom w:w="0" w:type="dxa"/>
              <w:right w:w="101" w:type="dxa"/>
            </w:tcMar>
          </w:tcPr>
          <w:p>
            <w:pPr>
              <w:rPr>
                <w:rFonts w:ascii="宋体" w:hAnsi="宋体" w:cs="宋体"/>
                <w:b/>
                <w:bCs/>
                <w:kern w:val="0"/>
                <w:sz w:val="24"/>
              </w:rPr>
            </w:pPr>
          </w:p>
        </w:tc>
        <w:tc>
          <w:tcPr>
            <w:tcW w:w="1808" w:type="dxa"/>
            <w:tcBorders>
              <w:top w:val="single" w:color="000000" w:sz="6" w:space="0"/>
              <w:left w:val="single" w:color="000000" w:sz="6" w:space="0"/>
              <w:bottom w:val="single" w:color="000000" w:sz="6" w:space="0"/>
              <w:right w:val="single" w:color="000000" w:sz="8" w:space="0"/>
            </w:tcBorders>
            <w:tcMar>
              <w:top w:w="0" w:type="dxa"/>
              <w:left w:w="101" w:type="dxa"/>
              <w:bottom w:w="0" w:type="dxa"/>
              <w:right w:w="98" w:type="dxa"/>
            </w:tcMar>
          </w:tcPr>
          <w:p>
            <w:pPr>
              <w:widowControl/>
              <w:spacing w:line="480" w:lineRule="atLeast"/>
              <w:rPr>
                <w:rFonts w:ascii="宋体" w:hAnsi="宋体" w:cs="宋体"/>
                <w:b/>
                <w:bCs/>
                <w:kern w:val="0"/>
                <w:sz w:val="24"/>
              </w:rPr>
            </w:pPr>
          </w:p>
        </w:tc>
      </w:tr>
    </w:tbl>
    <w:p>
      <w:pPr>
        <w:pStyle w:val="5"/>
        <w:widowControl/>
        <w:spacing w:beforeAutospacing="0" w:afterAutospacing="0"/>
        <w:ind w:firstLine="180"/>
        <w:jc w:val="both"/>
      </w:pPr>
      <w:r>
        <w:rPr>
          <w:rFonts w:ascii="仿宋" w:hAnsi="仿宋" w:eastAsia="仿宋" w:cs="仿宋"/>
          <w:b/>
          <w:sz w:val="30"/>
          <w:szCs w:val="30"/>
        </w:rPr>
        <w:t>填表人：</w:t>
      </w:r>
      <w:r>
        <w:rPr>
          <w:rFonts w:hint="eastAsia" w:ascii="宋体" w:hAnsi="宋体" w:eastAsia="宋体" w:cs="宋体"/>
          <w:b/>
          <w:sz w:val="30"/>
          <w:szCs w:val="30"/>
        </w:rPr>
        <w:t>     </w:t>
      </w:r>
      <w:r>
        <w:rPr>
          <w:rFonts w:hint="eastAsia" w:ascii="仿宋" w:hAnsi="仿宋" w:eastAsia="仿宋" w:cs="仿宋"/>
          <w:b/>
          <w:sz w:val="30"/>
          <w:szCs w:val="30"/>
        </w:rPr>
        <w:t>单位负责人（签字）：</w:t>
      </w:r>
      <w:r>
        <w:rPr>
          <w:rFonts w:hint="eastAsia" w:ascii="宋体" w:hAnsi="宋体" w:eastAsia="宋体" w:cs="宋体"/>
          <w:b/>
          <w:sz w:val="30"/>
          <w:szCs w:val="30"/>
        </w:rPr>
        <w:t xml:space="preserve">      分管（联系）校领导（签字）：    </w:t>
      </w:r>
    </w:p>
    <w:p>
      <w:pPr>
        <w:pStyle w:val="5"/>
        <w:widowControl/>
        <w:spacing w:beforeAutospacing="0" w:afterAutospacing="0"/>
        <w:ind w:firstLine="3247"/>
        <w:jc w:val="both"/>
      </w:pPr>
      <w:r>
        <w:rPr>
          <w:rFonts w:hint="eastAsia" w:ascii="仿宋" w:hAnsi="仿宋" w:eastAsia="仿宋" w:cs="仿宋"/>
          <w:b/>
          <w:sz w:val="30"/>
          <w:szCs w:val="30"/>
        </w:rPr>
        <w:t>年</w:t>
      </w:r>
      <w:r>
        <w:rPr>
          <w:rFonts w:hint="eastAsia" w:ascii="宋体" w:hAnsi="宋体" w:eastAsia="宋体" w:cs="宋体"/>
          <w:b/>
          <w:sz w:val="30"/>
          <w:szCs w:val="30"/>
        </w:rPr>
        <w:t> </w:t>
      </w:r>
      <w:r>
        <w:rPr>
          <w:rFonts w:hint="eastAsia" w:ascii="仿宋" w:hAnsi="仿宋" w:eastAsia="仿宋" w:cs="仿宋"/>
          <w:b/>
          <w:sz w:val="30"/>
          <w:szCs w:val="30"/>
        </w:rPr>
        <w:t xml:space="preserve"> 月</w:t>
      </w:r>
      <w:r>
        <w:rPr>
          <w:rFonts w:hint="eastAsia" w:ascii="宋体" w:hAnsi="宋体" w:eastAsia="宋体" w:cs="宋体"/>
          <w:b/>
          <w:sz w:val="30"/>
          <w:szCs w:val="30"/>
        </w:rPr>
        <w:t> </w:t>
      </w:r>
      <w:r>
        <w:rPr>
          <w:rFonts w:hint="eastAsia" w:ascii="仿宋" w:hAnsi="仿宋" w:eastAsia="仿宋" w:cs="仿宋"/>
          <w:b/>
          <w:sz w:val="30"/>
          <w:szCs w:val="30"/>
        </w:rPr>
        <w:t xml:space="preserve"> 日                                   年</w:t>
      </w:r>
      <w:r>
        <w:rPr>
          <w:rFonts w:hint="eastAsia" w:ascii="宋体" w:hAnsi="宋体" w:eastAsia="宋体" w:cs="宋体"/>
          <w:b/>
          <w:sz w:val="30"/>
          <w:szCs w:val="30"/>
        </w:rPr>
        <w:t> </w:t>
      </w:r>
      <w:r>
        <w:rPr>
          <w:rFonts w:hint="eastAsia" w:ascii="仿宋" w:hAnsi="仿宋" w:eastAsia="仿宋" w:cs="仿宋"/>
          <w:b/>
          <w:sz w:val="30"/>
          <w:szCs w:val="30"/>
        </w:rPr>
        <w:t xml:space="preserve"> 月</w:t>
      </w:r>
      <w:r>
        <w:rPr>
          <w:rFonts w:hint="eastAsia" w:ascii="宋体" w:hAnsi="宋体" w:eastAsia="宋体" w:cs="宋体"/>
          <w:b/>
          <w:sz w:val="30"/>
          <w:szCs w:val="30"/>
        </w:rPr>
        <w:t> </w:t>
      </w:r>
      <w:r>
        <w:rPr>
          <w:rFonts w:hint="eastAsia" w:ascii="仿宋" w:hAnsi="仿宋" w:eastAsia="仿宋" w:cs="仿宋"/>
          <w:b/>
          <w:sz w:val="30"/>
          <w:szCs w:val="30"/>
        </w:rPr>
        <w:t xml:space="preserve"> 日</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93378A6"/>
    <w:rsid w:val="001772D2"/>
    <w:rsid w:val="001902C2"/>
    <w:rsid w:val="002D2B9D"/>
    <w:rsid w:val="00483552"/>
    <w:rsid w:val="00527D8C"/>
    <w:rsid w:val="007571BA"/>
    <w:rsid w:val="007C3663"/>
    <w:rsid w:val="00894524"/>
    <w:rsid w:val="00903772"/>
    <w:rsid w:val="00A543F7"/>
    <w:rsid w:val="00AC7E38"/>
    <w:rsid w:val="00AD0E60"/>
    <w:rsid w:val="00B935C2"/>
    <w:rsid w:val="00C3359D"/>
    <w:rsid w:val="00C475BF"/>
    <w:rsid w:val="00C844F0"/>
    <w:rsid w:val="00CA2246"/>
    <w:rsid w:val="00DA4E2E"/>
    <w:rsid w:val="00E47F99"/>
    <w:rsid w:val="00E811C3"/>
    <w:rsid w:val="3BEB3DB6"/>
    <w:rsid w:val="45C112BD"/>
    <w:rsid w:val="55927891"/>
    <w:rsid w:val="5A367766"/>
    <w:rsid w:val="5E400585"/>
    <w:rsid w:val="727E741D"/>
    <w:rsid w:val="76541085"/>
    <w:rsid w:val="793378A6"/>
    <w:rsid w:val="79563F9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styleId="7">
    <w:name w:val="page number"/>
    <w:basedOn w:val="6"/>
    <w:qFormat/>
    <w:uiPriority w:val="0"/>
  </w:style>
  <w:style w:type="character" w:customStyle="1" w:styleId="9">
    <w:name w:val="页眉 Char"/>
    <w:basedOn w:val="6"/>
    <w:link w:val="4"/>
    <w:qFormat/>
    <w:uiPriority w:val="0"/>
    <w:rPr>
      <w:kern w:val="2"/>
      <w:sz w:val="18"/>
      <w:szCs w:val="18"/>
    </w:rPr>
  </w:style>
  <w:style w:type="character" w:customStyle="1" w:styleId="10">
    <w:name w:val="批注框文本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FFB113-4978-4D46-A718-76885DB49EA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471</Words>
  <Characters>2686</Characters>
  <Lines>22</Lines>
  <Paragraphs>6</Paragraphs>
  <TotalTime>0</TotalTime>
  <ScaleCrop>false</ScaleCrop>
  <LinksUpToDate>false</LinksUpToDate>
  <CharactersWithSpaces>3151</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2016-12-30T00:33:00Z</dcterms:created>
  <dc:creator>DB</dc:creator>
  <cp:lastModifiedBy>DB</cp:lastModifiedBy>
  <cp:lastPrinted>2017-01-04T00:42:28Z</cp:lastPrinted>
  <dcterms:modified xsi:type="dcterms:W3CDTF">2017-01-04T00:43:37Z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